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Purchase Order Policy and Procedures</w:t>
      </w:r>
    </w:p>
    <w:p>
      <w:pPr>
        <w:jc w:val="center"/>
      </w:pPr>
      <w:r>
        <w:rPr>
          <w:b/>
        </w:rPr>
        <w:t>Otaku Haven LLC</w:t>
      </w:r>
    </w:p>
    <w:p>
      <w:pPr>
        <w:jc w:val="center"/>
      </w:pPr>
      <w:r>
        <w:t>Effective Date: June 1, 2026</w:t>
      </w:r>
    </w:p>
    <w:p>
      <w:pPr>
        <w:jc w:val="center"/>
      </w:pPr>
      <w:r>
        <w:t>Version: 1.0</w:t>
      </w:r>
    </w:p>
    <w:p/>
    <w:p>
      <w:r>
        <w:rPr>
          <w:b/>
          <w:sz w:val="24"/>
        </w:rPr>
        <w:t>1. Purpose</w:t>
      </w:r>
    </w:p>
    <w:p>
      <w:r>
        <w:t>This policy governs the creation, approval, and management of purchase orders for all inventory and vendor purchases at Otaku Haven LLC. It standardizes how POs are prepared in PO-Template.xlsx, approved, received, and recorded so vendor commitments remain controlled and supportable.</w:t>
      </w:r>
    </w:p>
    <w:p>
      <w:r>
        <w:rPr>
          <w:b/>
          <w:sz w:val="24"/>
        </w:rPr>
        <w:t>2. Scope</w:t>
      </w:r>
    </w:p>
    <w:p>
      <w:r>
        <w:t>This policy applies to all staff with purchasing authority and covers all vendors listed in Master-Vendor-List.xlsx, along with any new vendor relationships approved for use by Otaku Haven LLC.</w:t>
      </w:r>
    </w:p>
    <w:p>
      <w:r>
        <w:rPr>
          <w:b/>
          <w:sz w:val="24"/>
        </w:rPr>
        <w:t>3. Authorized PO Creators</w:t>
      </w:r>
    </w:p>
    <w:p>
      <w:pPr>
        <w:pStyle w:val="ListBullet"/>
      </w:pPr>
      <w:r>
        <w:t>Store Manager and Assistant Manager may create purchase orders using PO-Template.xlsx.</w:t>
      </w:r>
    </w:p>
    <w:p>
      <w:pPr>
        <w:pStyle w:val="ListBullet"/>
      </w:pPr>
      <w:r>
        <w:t>Sales Associates and Key Holders may not create purchase orders, place vendor commitments, or issue changes to approved purchase orders.</w:t>
      </w:r>
    </w:p>
    <w:p>
      <w:pPr>
        <w:pStyle w:val="ListBullet"/>
      </w:pPr>
      <w:r>
        <w:t>An Assistant Manager-prepared PO is not considered approved until it meets the approval thresholds in Section 4.</w:t>
      </w:r>
    </w:p>
    <w:p>
      <w:r>
        <w:rPr>
          <w:b/>
          <w:sz w:val="24"/>
        </w:rPr>
        <w:t>4. Approval Thresholds</w:t>
      </w:r>
    </w:p>
    <w:p>
      <w:r>
        <w:t>Approval authority for purchase orders follows the exact expenditure thresholds in Cash-Management-Policy.docx. Purchase orders created for inventory or vendor purchases must use the following controls:</w:t>
      </w:r>
    </w:p>
    <w:tbl>
      <w:tblPr>
        <w:tblStyle w:val="TableGrid"/>
        <w:tblW w:type="auto" w:w="0"/>
        <w:tblLook w:firstColumn="1" w:firstRow="1" w:lastColumn="0" w:lastRow="0" w:noHBand="0" w:noVBand="1" w:val="04A0"/>
      </w:tblPr>
      <w:tblGrid>
        <w:gridCol w:w="3360"/>
        <w:gridCol w:w="3360"/>
        <w:gridCol w:w="3360"/>
      </w:tblGrid>
      <w:tr>
        <w:tc>
          <w:tcPr>
            <w:tcW w:type="dxa" w:w="3360"/>
          </w:tcPr>
          <w:p>
            <w:r>
              <w:t>Purchase Type</w:t>
            </w:r>
          </w:p>
        </w:tc>
        <w:tc>
          <w:tcPr>
            <w:tcW w:type="dxa" w:w="3360"/>
          </w:tcPr>
          <w:p>
            <w:r>
              <w:t>Approval Standard</w:t>
            </w:r>
          </w:p>
        </w:tc>
        <w:tc>
          <w:tcPr>
            <w:tcW w:type="dxa" w:w="3360"/>
          </w:tcPr>
          <w:p>
            <w:r>
              <w:t>PO Application</w:t>
            </w:r>
          </w:p>
        </w:tc>
      </w:tr>
      <w:tr>
        <w:tc>
          <w:tcPr>
            <w:tcW w:type="dxa" w:w="3360"/>
          </w:tcPr>
          <w:p>
            <w:r>
              <w:t>Routine operating expenses</w:t>
            </w:r>
          </w:p>
        </w:tc>
        <w:tc>
          <w:tcPr>
            <w:tcW w:type="dxa" w:w="3360"/>
          </w:tcPr>
          <w:p>
            <w:r>
              <w:t>Store Manager may approve up to $2,500 per transaction for pre-approved categories such as inventory reorders and recurring subscriptions.</w:t>
            </w:r>
          </w:p>
        </w:tc>
        <w:tc>
          <w:tcPr>
            <w:tcW w:type="dxa" w:w="3360"/>
          </w:tcPr>
          <w:p>
            <w:r>
              <w:t>Applies to standard inventory replenishment POs.</w:t>
            </w:r>
          </w:p>
        </w:tc>
      </w:tr>
      <w:tr>
        <w:tc>
          <w:tcPr>
            <w:tcW w:type="dxa" w:w="3360"/>
          </w:tcPr>
          <w:p>
            <w:r>
              <w:t>Non-routine or unbudgeted expenses</w:t>
            </w:r>
          </w:p>
        </w:tc>
        <w:tc>
          <w:tcPr>
            <w:tcW w:type="dxa" w:w="3360"/>
          </w:tcPr>
          <w:p>
            <w:r>
              <w:t>Managing Member approval is required for any single expense over $500.</w:t>
            </w:r>
          </w:p>
        </w:tc>
        <w:tc>
          <w:tcPr>
            <w:tcW w:type="dxa" w:w="3360"/>
          </w:tcPr>
          <w:p>
            <w:r>
              <w:t>Use when a PO is outside the normal reorder plan or budget.</w:t>
            </w:r>
          </w:p>
        </w:tc>
      </w:tr>
      <w:tr>
        <w:tc>
          <w:tcPr>
            <w:tcW w:type="dxa" w:w="3360"/>
          </w:tcPr>
          <w:p>
            <w:r>
              <w:t>Capital expenditures</w:t>
            </w:r>
          </w:p>
        </w:tc>
        <w:tc>
          <w:tcPr>
            <w:tcW w:type="dxa" w:w="3360"/>
          </w:tcPr>
          <w:p>
            <w:r>
              <w:t>Managing Member approval is required regardless of amount.</w:t>
            </w:r>
          </w:p>
        </w:tc>
        <w:tc>
          <w:tcPr>
            <w:tcW w:type="dxa" w:w="3360"/>
          </w:tcPr>
          <w:p>
            <w:r>
              <w:t>Applies to fixtures, equipment, technology, or other capital items ordered through a vendor PO.</w:t>
            </w:r>
          </w:p>
        </w:tc>
      </w:tr>
      <w:tr>
        <w:tc>
          <w:tcPr>
            <w:tcW w:type="dxa" w:w="3360"/>
          </w:tcPr>
          <w:p>
            <w:r>
              <w:t>Emergency purchases</w:t>
            </w:r>
          </w:p>
        </w:tc>
        <w:tc>
          <w:tcPr>
            <w:tcW w:type="dxa" w:w="3360"/>
          </w:tcPr>
          <w:p>
            <w:r>
              <w:t>Store Manager may approve up to $500 with same-day notification to the Managing Member.</w:t>
            </w:r>
          </w:p>
        </w:tc>
        <w:tc>
          <w:tcPr>
            <w:tcW w:type="dxa" w:w="3360"/>
          </w:tcPr>
          <w:p>
            <w:r>
              <w:t>Use only when an urgent business need cannot wait for the standard workflow.</w:t>
            </w:r>
          </w:p>
        </w:tc>
      </w:tr>
      <w:tr>
        <w:tc>
          <w:tcPr>
            <w:tcW w:type="dxa" w:w="3360"/>
          </w:tcPr>
          <w:p>
            <w:r>
              <w:t>Disbursements over $5,000</w:t>
            </w:r>
          </w:p>
        </w:tc>
        <w:tc>
          <w:tcPr>
            <w:tcW w:type="dxa" w:w="3360"/>
          </w:tcPr>
          <w:p>
            <w:r>
              <w:t>Dual approval is required for any disbursement over $5,000, meaning both authorized signers must approve the payment before release.</w:t>
            </w:r>
          </w:p>
        </w:tc>
        <w:tc>
          <w:tcPr>
            <w:tcW w:type="dxa" w:w="3360"/>
          </w:tcPr>
          <w:p>
            <w:r>
              <w:t>Applies when the approved PO proceeds to payment by check or ACH.</w:t>
            </w:r>
          </w:p>
        </w:tc>
      </w:tr>
    </w:tbl>
    <w:p>
      <w:r>
        <w:rPr>
          <w:b/>
          <w:sz w:val="24"/>
        </w:rPr>
        <w:t>5. PO Numbering Convention</w:t>
      </w:r>
    </w:p>
    <w:p>
      <w:r>
        <w:t>Otaku Haven LLC uses the numbering format PO-YYYY-NNNN. Numbers are sequential within each calendar year, beginning with PO-2026-0001, and the next available sequence number must be recorded in the PO log before the PO is sent to the vendor.</w:t>
      </w:r>
    </w:p>
    <w:p>
      <w:r>
        <w:rPr>
          <w:b/>
          <w:sz w:val="24"/>
        </w:rPr>
        <w:t>6. Lead Time Expectations</w:t>
      </w:r>
    </w:p>
    <w:tbl>
      <w:tblPr>
        <w:tblStyle w:val="TableGrid"/>
        <w:tblW w:type="auto" w:w="0"/>
        <w:tblLook w:firstColumn="1" w:firstRow="1" w:lastColumn="0" w:lastRow="0" w:noHBand="0" w:noVBand="1" w:val="04A0"/>
      </w:tblPr>
      <w:tblGrid>
        <w:gridCol w:w="5040"/>
        <w:gridCol w:w="5040"/>
      </w:tblGrid>
      <w:tr>
        <w:tc>
          <w:tcPr>
            <w:tcW w:type="dxa" w:w="5040"/>
          </w:tcPr>
          <w:p>
            <w:r>
              <w:t>Vendor Type</w:t>
            </w:r>
          </w:p>
        </w:tc>
        <w:tc>
          <w:tcPr>
            <w:tcW w:type="dxa" w:w="5040"/>
          </w:tcPr>
          <w:p>
            <w:r>
              <w:t>Standard Lead Time</w:t>
            </w:r>
          </w:p>
        </w:tc>
      </w:tr>
      <w:tr>
        <w:tc>
          <w:tcPr>
            <w:tcW w:type="dxa" w:w="5040"/>
          </w:tcPr>
          <w:p>
            <w:r>
              <w:t>Domestic distributors and routine reorder vendors</w:t>
            </w:r>
          </w:p>
        </w:tc>
        <w:tc>
          <w:tcPr>
            <w:tcW w:type="dxa" w:w="5040"/>
          </w:tcPr>
          <w:p>
            <w:r>
              <w:t>3-7 business days from PO acceptance to delivery.</w:t>
            </w:r>
          </w:p>
        </w:tc>
      </w:tr>
      <w:tr>
        <w:tc>
          <w:tcPr>
            <w:tcW w:type="dxa" w:w="5040"/>
          </w:tcPr>
          <w:p>
            <w:r>
              <w:t>Specialty importers or allocation-based vendors</w:t>
            </w:r>
          </w:p>
        </w:tc>
        <w:tc>
          <w:tcPr>
            <w:tcW w:type="dxa" w:w="5040"/>
          </w:tcPr>
          <w:p>
            <w:r>
              <w:t>2-4 weeks depending on release schedule, import transit, and allocation windows.</w:t>
            </w:r>
          </w:p>
        </w:tc>
      </w:tr>
      <w:tr>
        <w:tc>
          <w:tcPr>
            <w:tcW w:type="dxa" w:w="5040"/>
          </w:tcPr>
          <w:p>
            <w:r>
              <w:t>Local or short-run creator and specialty merchandise vendors</w:t>
            </w:r>
          </w:p>
        </w:tc>
        <w:tc>
          <w:tcPr>
            <w:tcW w:type="dxa" w:w="5040"/>
          </w:tcPr>
          <w:p>
            <w:r>
              <w:t>By written agreement or release calendar; confirm expected delivery before issuing the PO.</w:t>
            </w:r>
          </w:p>
        </w:tc>
      </w:tr>
    </w:tbl>
    <w:p>
      <w:r>
        <w:rPr>
          <w:b/>
          <w:sz w:val="24"/>
        </w:rPr>
        <w:t>7. Receiving Process</w:t>
      </w:r>
    </w:p>
    <w:p>
      <w:r>
        <w:t>The full receiving procedure is governed by SOP-007-Inventory-Receiving.docx. All received shipments must be checked against the open purchase order, packing slip, or expected-delivery record before items are entered into Square for Retail. Purchase orders remain open until accepted quantities are confirmed and any discrepancies are documented for vendor follow-up.</w:t>
      </w:r>
    </w:p>
    <w:p>
      <w:r>
        <w:rPr>
          <w:b/>
          <w:sz w:val="24"/>
        </w:rPr>
        <w:t>8. Discrepancy Handling</w:t>
      </w:r>
    </w:p>
    <w:p>
      <w:pPr>
        <w:pStyle w:val="ListBullet"/>
      </w:pPr>
      <w:r>
        <w:t>Document short shipments, wrong items, visible damage, and quantity variances on the Receiving Discrepancy Report used by the store receiving process.</w:t>
      </w:r>
    </w:p>
    <w:p>
      <w:pPr>
        <w:pStyle w:val="ListBullet"/>
      </w:pPr>
      <w:r>
        <w:t>Notify the vendor in writing within 2 business days and attach photos when packaging or item damage is visible.</w:t>
      </w:r>
    </w:p>
    <w:p>
      <w:pPr>
        <w:pStyle w:val="ListBullet"/>
      </w:pPr>
      <w:r>
        <w:t>Hold discrepant goods separate from accepted stock so they are not shelved and not entered into Square for Retail as saleable inventory.</w:t>
      </w:r>
    </w:p>
    <w:p>
      <w:pPr>
        <w:pStyle w:val="ListBullet"/>
      </w:pPr>
      <w:r>
        <w:t>Do not close the purchase order until the vendor confirms the resolution, including credit, replacement shipment, or return authorization as applicable.</w:t>
      </w:r>
    </w:p>
    <w:p>
      <w:r>
        <w:rPr>
          <w:b/>
          <w:sz w:val="24"/>
        </w:rPr>
        <w:t>9. Xero Integration</w:t>
      </w:r>
    </w:p>
    <w:p>
      <w:r>
        <w:t>When a purchase order is fulfilled and accepted, the Store Manager records the vendor invoice in Xero. Owned inventory purchases are coded to Inventory Asset with the liability recorded to Accounts Payable. If a category-specific cost-of-goods line or adjustment is required, the Store Manager uses the exact Chart of Accounts names COGS – Figures &amp; Statues, COGS – Manga &amp; Light Novels, COGS – Apparel, COGS – Accessories, COGS – Home &amp; Lifestyle, COGS – Trading Cards, COGS – Media, or COGS – Purchases for mixed or unassigned inventory purchases and adjustments.</w:t>
      </w:r>
    </w:p>
    <w:p>
      <w:r>
        <w:rPr>
          <w:b/>
          <w:sz w:val="24"/>
        </w:rPr>
        <w:t>10. Record Retention</w:t>
      </w:r>
    </w:p>
    <w:p>
      <w:r>
        <w:t>Purchase orders, packing slips, vendor invoices, receiving notes, and related discrepancy documentation are retained for a minimum of 3 years, consistent with the Record Retention Policy. Electronic copies may be retained in Xero or Microsoft 365 so long as the record remains complete and retrievable.</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