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40"/>
        </w:rPr>
        <w:t>Record Retention Policy</w:t>
      </w:r>
    </w:p>
    <w:p>
      <w:pPr>
        <w:jc w:val="center"/>
      </w:pPr>
      <w:r>
        <w:rPr>
          <w:rFonts w:ascii="Calibri" w:hAnsi="Calibri"/>
          <w:b/>
          <w:sz w:val="28"/>
        </w:rPr>
        <w:t>Otaku Haven LLC</w:t>
      </w:r>
    </w:p>
    <w:p>
      <w:pPr>
        <w:jc w:val="center"/>
      </w:pPr>
      <w:r>
        <w:rPr>
          <w:rFonts w:ascii="Calibri" w:hAnsi="Calibri"/>
          <w:sz w:val="24"/>
        </w:rPr>
        <w:t>Effective Date: June 1, 2026</w:t>
      </w:r>
    </w:p>
    <w:p>
      <w:pPr>
        <w:jc w:val="center"/>
      </w:pPr>
      <w:r>
        <w:rPr>
          <w:rFonts w:ascii="Calibri" w:hAnsi="Calibri"/>
          <w:sz w:val="22"/>
        </w:rPr>
        <w:t>2847 S Lamar Blvd, Suite 105, Austin, TX 78704</w:t>
      </w:r>
    </w:p>
    <w:p>
      <w:r>
        <w:br w:type="page"/>
      </w:r>
    </w:p>
    <w:p>
      <w:pPr>
        <w:pStyle w:val="Heading1"/>
      </w:pPr>
      <w:r>
        <w:t>1. Purpose and Scope</w:t>
      </w:r>
    </w:p>
    <w:p>
      <w:pPr>
        <w:spacing w:after="160"/>
      </w:pPr>
      <w:r>
        <w:t>This policy establishes how Otaku Haven LLC retains, stores, and destroys business records relating to finance, payroll, employees, legal documents, customer information, and operations. It applies to physical and digital records maintained through Microsoft 365, Xero, Gusto, Square, and paper files stored onsite.</w:t>
      </w:r>
    </w:p>
    <w:p>
      <w:pPr>
        <w:pStyle w:val="Heading1"/>
      </w:pPr>
      <w:r>
        <w:t>2. Retention Schedule</w:t>
      </w:r>
    </w:p>
    <w:tbl>
      <w:tblPr>
        <w:tblStyle w:val="TableGrid"/>
        <w:tblW w:type="auto" w:w="0"/>
        <w:tblLook w:firstColumn="1" w:firstRow="1" w:lastColumn="0" w:lastRow="0" w:noHBand="0" w:noVBand="1" w:val="04A0"/>
      </w:tblPr>
      <w:tblGrid>
        <w:gridCol w:w="2412"/>
        <w:gridCol w:w="2412"/>
        <w:gridCol w:w="2412"/>
        <w:gridCol w:w="2412"/>
      </w:tblGrid>
      <w:tr>
        <w:tc>
          <w:tcPr>
            <w:tcW w:type="dxa" w:w="2412"/>
          </w:tcPr>
          <w:p>
            <w:r>
              <w:rPr>
                <w:b/>
              </w:rPr>
              <w:t>Record Category</w:t>
            </w:r>
          </w:p>
        </w:tc>
        <w:tc>
          <w:tcPr>
            <w:tcW w:type="dxa" w:w="2412"/>
          </w:tcPr>
          <w:p>
            <w:r>
              <w:rPr>
                <w:b/>
              </w:rPr>
              <w:t>Retention Period</w:t>
            </w:r>
          </w:p>
        </w:tc>
        <w:tc>
          <w:tcPr>
            <w:tcW w:type="dxa" w:w="2412"/>
          </w:tcPr>
          <w:p>
            <w:r>
              <w:rPr>
                <w:b/>
              </w:rPr>
              <w:t>Storage Method</w:t>
            </w:r>
          </w:p>
        </w:tc>
        <w:tc>
          <w:tcPr>
            <w:tcW w:type="dxa" w:w="2412"/>
          </w:tcPr>
          <w:p>
            <w:r>
              <w:rPr>
                <w:b/>
              </w:rPr>
              <w:t>Notes</w:t>
            </w:r>
          </w:p>
        </w:tc>
      </w:tr>
      <w:tr>
        <w:tc>
          <w:tcPr>
            <w:tcW w:type="dxa" w:w="2412"/>
          </w:tcPr>
          <w:p>
            <w:r>
              <w:t>Federal and Texas tax returns</w:t>
            </w:r>
          </w:p>
        </w:tc>
        <w:tc>
          <w:tcPr>
            <w:tcW w:type="dxa" w:w="2412"/>
          </w:tcPr>
          <w:p>
            <w:r>
              <w:t>7 years</w:t>
            </w:r>
          </w:p>
        </w:tc>
        <w:tc>
          <w:tcPr>
            <w:tcW w:type="dxa" w:w="2412"/>
          </w:tcPr>
          <w:p>
            <w:r>
              <w:t>Digital (M365) + physical</w:t>
            </w:r>
          </w:p>
        </w:tc>
        <w:tc>
          <w:tcPr>
            <w:tcW w:type="dxa" w:w="2412"/>
          </w:tcPr>
          <w:p>
            <w:r>
              <w:t>IRS statute of limitations support.</w:t>
            </w:r>
          </w:p>
        </w:tc>
      </w:tr>
      <w:tr>
        <w:tc>
          <w:tcPr>
            <w:tcW w:type="dxa" w:w="2412"/>
          </w:tcPr>
          <w:p>
            <w:r>
              <w:t>Bank statements</w:t>
            </w:r>
          </w:p>
        </w:tc>
        <w:tc>
          <w:tcPr>
            <w:tcW w:type="dxa" w:w="2412"/>
          </w:tcPr>
          <w:p>
            <w:r>
              <w:t>7 years</w:t>
            </w:r>
          </w:p>
        </w:tc>
        <w:tc>
          <w:tcPr>
            <w:tcW w:type="dxa" w:w="2412"/>
          </w:tcPr>
          <w:p>
            <w:r>
              <w:t>Digital (Xero/M365)</w:t>
            </w:r>
          </w:p>
        </w:tc>
        <w:tc>
          <w:tcPr>
            <w:tcW w:type="dxa" w:w="2412"/>
          </w:tcPr>
          <w:p>
            <w:r>
              <w:t>Maintain monthly statements and supporting reconciliation records.</w:t>
            </w:r>
          </w:p>
        </w:tc>
      </w:tr>
      <w:tr>
        <w:tc>
          <w:tcPr>
            <w:tcW w:type="dxa" w:w="2412"/>
          </w:tcPr>
          <w:p>
            <w:r>
              <w:t>General ledger / financial statements</w:t>
            </w:r>
          </w:p>
        </w:tc>
        <w:tc>
          <w:tcPr>
            <w:tcW w:type="dxa" w:w="2412"/>
          </w:tcPr>
          <w:p>
            <w:r>
              <w:t>7 years</w:t>
            </w:r>
          </w:p>
        </w:tc>
        <w:tc>
          <w:tcPr>
            <w:tcW w:type="dxa" w:w="2412"/>
          </w:tcPr>
          <w:p>
            <w:r>
              <w:t>Xero + digital backup</w:t>
            </w:r>
          </w:p>
        </w:tc>
        <w:tc>
          <w:tcPr>
            <w:tcW w:type="dxa" w:w="2412"/>
          </w:tcPr>
          <w:p>
            <w:r>
              <w:t>Includes P&amp;L, balance sheet, and close support files.</w:t>
            </w:r>
          </w:p>
        </w:tc>
      </w:tr>
      <w:tr>
        <w:tc>
          <w:tcPr>
            <w:tcW w:type="dxa" w:w="2412"/>
          </w:tcPr>
          <w:p>
            <w:r>
              <w:t>Accounts payable records / invoices</w:t>
            </w:r>
          </w:p>
        </w:tc>
        <w:tc>
          <w:tcPr>
            <w:tcW w:type="dxa" w:w="2412"/>
          </w:tcPr>
          <w:p>
            <w:r>
              <w:t>7 years</w:t>
            </w:r>
          </w:p>
        </w:tc>
        <w:tc>
          <w:tcPr>
            <w:tcW w:type="dxa" w:w="2412"/>
          </w:tcPr>
          <w:p>
            <w:r>
              <w:t>Digital (Xero/M365)</w:t>
            </w:r>
          </w:p>
        </w:tc>
        <w:tc>
          <w:tcPr>
            <w:tcW w:type="dxa" w:w="2412"/>
          </w:tcPr>
          <w:p>
            <w:r>
              <w:t>Retain bills, approvals, and payment support.</w:t>
            </w:r>
          </w:p>
        </w:tc>
      </w:tr>
      <w:tr>
        <w:tc>
          <w:tcPr>
            <w:tcW w:type="dxa" w:w="2412"/>
          </w:tcPr>
          <w:p>
            <w:r>
              <w:t>Payroll records (Gusto)</w:t>
            </w:r>
          </w:p>
        </w:tc>
        <w:tc>
          <w:tcPr>
            <w:tcW w:type="dxa" w:w="2412"/>
          </w:tcPr>
          <w:p>
            <w:r>
              <w:t>7 years</w:t>
            </w:r>
          </w:p>
        </w:tc>
        <w:tc>
          <w:tcPr>
            <w:tcW w:type="dxa" w:w="2412"/>
          </w:tcPr>
          <w:p>
            <w:r>
              <w:t>Gusto + digital backup</w:t>
            </w:r>
          </w:p>
        </w:tc>
        <w:tc>
          <w:tcPr>
            <w:tcW w:type="dxa" w:w="2412"/>
          </w:tcPr>
          <w:p>
            <w:r>
              <w:t>FLSA / IRS requirement.</w:t>
            </w:r>
          </w:p>
        </w:tc>
      </w:tr>
      <w:tr>
        <w:tc>
          <w:tcPr>
            <w:tcW w:type="dxa" w:w="2412"/>
          </w:tcPr>
          <w:p>
            <w:r>
              <w:t>Employee records (personnel files)</w:t>
            </w:r>
          </w:p>
        </w:tc>
        <w:tc>
          <w:tcPr>
            <w:tcW w:type="dxa" w:w="2412"/>
          </w:tcPr>
          <w:p>
            <w:r>
              <w:t>7 years post-termination</w:t>
            </w:r>
          </w:p>
        </w:tc>
        <w:tc>
          <w:tcPr>
            <w:tcW w:type="dxa" w:w="2412"/>
          </w:tcPr>
          <w:p>
            <w:r>
              <w:t>Gusto + digital (M365)</w:t>
            </w:r>
          </w:p>
        </w:tc>
        <w:tc>
          <w:tcPr>
            <w:tcW w:type="dxa" w:w="2412"/>
          </w:tcPr>
          <w:p>
            <w:r>
              <w:t>Texas and federal employment support.</w:t>
            </w:r>
          </w:p>
        </w:tc>
      </w:tr>
      <w:tr>
        <w:tc>
          <w:tcPr>
            <w:tcW w:type="dxa" w:w="2412"/>
          </w:tcPr>
          <w:p>
            <w:r>
              <w:t>I-9 forms</w:t>
            </w:r>
          </w:p>
        </w:tc>
        <w:tc>
          <w:tcPr>
            <w:tcW w:type="dxa" w:w="2412"/>
          </w:tcPr>
          <w:p>
            <w:r>
              <w:t>3 years from hire or 1 year post-termination (whichever is later)</w:t>
            </w:r>
          </w:p>
        </w:tc>
        <w:tc>
          <w:tcPr>
            <w:tcW w:type="dxa" w:w="2412"/>
          </w:tcPr>
          <w:p>
            <w:r>
              <w:t>Physical secure file</w:t>
            </w:r>
          </w:p>
        </w:tc>
        <w:tc>
          <w:tcPr>
            <w:tcW w:type="dxa" w:w="2412"/>
          </w:tcPr>
          <w:p>
            <w:r>
              <w:t>USCIS requirement.</w:t>
            </w:r>
          </w:p>
        </w:tc>
      </w:tr>
      <w:tr>
        <w:tc>
          <w:tcPr>
            <w:tcW w:type="dxa" w:w="2412"/>
          </w:tcPr>
          <w:p>
            <w:r>
              <w:t>Contracts and leases</w:t>
            </w:r>
          </w:p>
        </w:tc>
        <w:tc>
          <w:tcPr>
            <w:tcW w:type="dxa" w:w="2412"/>
          </w:tcPr>
          <w:p>
            <w:r>
              <w:t>Duration + 7 years</w:t>
            </w:r>
          </w:p>
        </w:tc>
        <w:tc>
          <w:tcPr>
            <w:tcW w:type="dxa" w:w="2412"/>
          </w:tcPr>
          <w:p>
            <w:r>
              <w:t>Digital (M365) + physical</w:t>
            </w:r>
          </w:p>
        </w:tc>
        <w:tc>
          <w:tcPr>
            <w:tcW w:type="dxa" w:w="2412"/>
          </w:tcPr>
          <w:p>
            <w:r>
              <w:t>Includes lease amendments and material service contracts.</w:t>
            </w:r>
          </w:p>
        </w:tc>
      </w:tr>
      <w:tr>
        <w:tc>
          <w:tcPr>
            <w:tcW w:type="dxa" w:w="2412"/>
          </w:tcPr>
          <w:p>
            <w:r>
              <w:t>Insurance policies</w:t>
            </w:r>
          </w:p>
        </w:tc>
        <w:tc>
          <w:tcPr>
            <w:tcW w:type="dxa" w:w="2412"/>
          </w:tcPr>
          <w:p>
            <w:r>
              <w:t>Duration + 3 years</w:t>
            </w:r>
          </w:p>
        </w:tc>
        <w:tc>
          <w:tcPr>
            <w:tcW w:type="dxa" w:w="2412"/>
          </w:tcPr>
          <w:p>
            <w:r>
              <w:t>Digital (M365) + physical</w:t>
            </w:r>
          </w:p>
        </w:tc>
        <w:tc>
          <w:tcPr>
            <w:tcW w:type="dxa" w:w="2412"/>
          </w:tcPr>
          <w:p>
            <w:r>
              <w:t>Retain policies, endorsements, and claim support.</w:t>
            </w:r>
          </w:p>
        </w:tc>
      </w:tr>
      <w:tr>
        <w:tc>
          <w:tcPr>
            <w:tcW w:type="dxa" w:w="2412"/>
          </w:tcPr>
          <w:p>
            <w:r>
              <w:t>Corporate records (Operating Agreement, resolutions)</w:t>
            </w:r>
          </w:p>
        </w:tc>
        <w:tc>
          <w:tcPr>
            <w:tcW w:type="dxa" w:w="2412"/>
          </w:tcPr>
          <w:p>
            <w:r>
              <w:t>Permanent</w:t>
            </w:r>
          </w:p>
        </w:tc>
        <w:tc>
          <w:tcPr>
            <w:tcW w:type="dxa" w:w="2412"/>
          </w:tcPr>
          <w:p>
            <w:r>
              <w:t>Digital (M365) + physical</w:t>
            </w:r>
          </w:p>
        </w:tc>
        <w:tc>
          <w:tcPr>
            <w:tcW w:type="dxa" w:w="2412"/>
          </w:tcPr>
          <w:p>
            <w:r>
              <w:t>Texas LLC governance requirement.</w:t>
            </w:r>
          </w:p>
        </w:tc>
      </w:tr>
      <w:tr>
        <w:tc>
          <w:tcPr>
            <w:tcW w:type="dxa" w:w="2412"/>
          </w:tcPr>
          <w:p>
            <w:r>
              <w:t>Customer data (loyalty program, email lists)</w:t>
            </w:r>
          </w:p>
        </w:tc>
        <w:tc>
          <w:tcPr>
            <w:tcW w:type="dxa" w:w="2412"/>
          </w:tcPr>
          <w:p>
            <w:r>
              <w:t>Active + 3 years after last activity</w:t>
            </w:r>
          </w:p>
        </w:tc>
        <w:tc>
          <w:tcPr>
            <w:tcW w:type="dxa" w:w="2412"/>
          </w:tcPr>
          <w:p>
            <w:r>
              <w:t>Digital (M365 / Square)</w:t>
            </w:r>
          </w:p>
        </w:tc>
        <w:tc>
          <w:tcPr>
            <w:tcW w:type="dxa" w:w="2412"/>
          </w:tcPr>
          <w:p>
            <w:r>
              <w:t>Data minimization standard.</w:t>
            </w:r>
          </w:p>
        </w:tc>
      </w:tr>
      <w:tr>
        <w:tc>
          <w:tcPr>
            <w:tcW w:type="dxa" w:w="2412"/>
          </w:tcPr>
          <w:p>
            <w:r>
              <w:t>POS transaction records</w:t>
            </w:r>
          </w:p>
        </w:tc>
        <w:tc>
          <w:tcPr>
            <w:tcW w:type="dxa" w:w="2412"/>
          </w:tcPr>
          <w:p>
            <w:r>
              <w:t>7 years</w:t>
            </w:r>
          </w:p>
        </w:tc>
        <w:tc>
          <w:tcPr>
            <w:tcW w:type="dxa" w:w="2412"/>
          </w:tcPr>
          <w:p>
            <w:r>
              <w:t>Square + Xero</w:t>
            </w:r>
          </w:p>
        </w:tc>
        <w:tc>
          <w:tcPr>
            <w:tcW w:type="dxa" w:w="2412"/>
          </w:tcPr>
          <w:p>
            <w:r>
              <w:t>Supports sales tax and financial audits.</w:t>
            </w:r>
          </w:p>
        </w:tc>
      </w:tr>
      <w:tr>
        <w:tc>
          <w:tcPr>
            <w:tcW w:type="dxa" w:w="2412"/>
          </w:tcPr>
          <w:p>
            <w:r>
              <w:t>Vendor agreements</w:t>
            </w:r>
          </w:p>
        </w:tc>
        <w:tc>
          <w:tcPr>
            <w:tcW w:type="dxa" w:w="2412"/>
          </w:tcPr>
          <w:p>
            <w:r>
              <w:t>Duration + 5 years</w:t>
            </w:r>
          </w:p>
        </w:tc>
        <w:tc>
          <w:tcPr>
            <w:tcW w:type="dxa" w:w="2412"/>
          </w:tcPr>
          <w:p>
            <w:r>
              <w:t>Digital (M365)</w:t>
            </w:r>
          </w:p>
        </w:tc>
        <w:tc>
          <w:tcPr>
            <w:tcW w:type="dxa" w:w="2412"/>
          </w:tcPr>
          <w:p>
            <w:r>
              <w:t>Retain commercial terms and amendments.</w:t>
            </w:r>
          </w:p>
        </w:tc>
      </w:tr>
    </w:tbl>
    <w:p/>
    <w:p>
      <w:pPr>
        <w:pStyle w:val="Heading1"/>
      </w:pPr>
      <w:r>
        <w:t>3. Storage Methods</w:t>
      </w:r>
    </w:p>
    <w:p>
      <w:pPr>
        <w:spacing w:after="160"/>
      </w:pPr>
      <w:r>
        <w:t>Physical records are stored in a locked file cabinet in the back office, with access restricted to the Store Manager and above unless a specific need is approved. Digital records are stored in Microsoft 365 SharePoint, Xero, Gusto, and other approved cloud-hosted systems referenced in this policy. Where records originate in a platform system, Otaku Haven may also retain exported backups in Microsoft 365 for continuity and legal support.</w:t>
      </w:r>
    </w:p>
    <w:p>
      <w:pPr>
        <w:pStyle w:val="Heading1"/>
      </w:pPr>
      <w:r>
        <w:t>4. Destruction Procedures</w:t>
      </w:r>
    </w:p>
    <w:p>
      <w:pPr>
        <w:spacing w:after="160"/>
      </w:pPr>
      <w:r>
        <w:t>When the retention period expires and no legal hold applies, physical documents must be destroyed by cross-cut shredding or an equivalent secure destruction method. Digital records must be removed using secure deletion or platform-native deletion controls that prevent ordinary user recovery. Routine destruction should be documented sufficiently to show what category of record was destroyed and when.</w:t>
      </w:r>
    </w:p>
    <w:p>
      <w:pPr>
        <w:pStyle w:val="Heading1"/>
      </w:pPr>
      <w:r>
        <w:t>5. Legal Hold</w:t>
      </w:r>
    </w:p>
    <w:p>
      <w:pPr>
        <w:spacing w:after="160"/>
      </w:pPr>
      <w:r>
        <w:t>Any record that may be relevant to litigation, an audit, a government inquiry, an insurance claim, or an internal investigation must be preserved immediately and excluded from normal destruction schedules. The Managing Member determines when a legal hold applies and when it may be lifted, with outside counsel consulted when appropriate.</w:t>
      </w:r>
    </w:p>
    <w:p>
      <w:pPr>
        <w:pStyle w:val="Heading1"/>
      </w:pPr>
      <w:r>
        <w:t>6. Responsibility</w:t>
      </w:r>
    </w:p>
    <w:p>
      <w:pPr>
        <w:spacing w:after="160"/>
      </w:pPr>
      <w:r>
        <w:t>The Managing Member is the policy owner and approves exceptions, legal holds, and destruction decisions for sensitive records. The Store Manager is responsible for day-to-day record maintenance, ensuring records are stored in the correct systems, and coordinating with the external accountant, payroll provider, or other custodians so retention requirements are consistently followed.</w:t>
      </w:r>
    </w:p>
    <w:sectPr w:rsidR="00FC693F" w:rsidRPr="0006063C" w:rsidSect="00034616">
      <w:footerReference w:type="default" r:id="rId9"/>
      <w:pgSz w:w="12240" w:h="15840"/>
      <w:pgMar w:top="1224"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t xml:space="preserve">Page </w:t>
      <w:fldChar w:fldCharType="begin"/>
      <w:instrText xml:space="preserve">PAGE</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eastAsia="Calibr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eastAsia="Calibr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eastAsia="Calibri"/>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