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sz w:val="40"/>
        </w:rPr>
        <w:t>Inventory Valuation Policy</w:t>
      </w:r>
    </w:p>
    <w:p>
      <w:pPr>
        <w:jc w:val="center"/>
      </w:pPr>
      <w:r>
        <w:rPr>
          <w:rFonts w:ascii="Calibri" w:hAnsi="Calibri"/>
          <w:b/>
          <w:sz w:val="28"/>
        </w:rPr>
        <w:t>Otaku Haven LLC</w:t>
      </w:r>
    </w:p>
    <w:p>
      <w:pPr>
        <w:jc w:val="center"/>
      </w:pPr>
      <w:r>
        <w:rPr>
          <w:rFonts w:ascii="Calibri" w:hAnsi="Calibri"/>
          <w:sz w:val="24"/>
        </w:rPr>
        <w:t>Effective Date: June 1, 2026</w:t>
      </w:r>
    </w:p>
    <w:p>
      <w:pPr>
        <w:jc w:val="center"/>
      </w:pPr>
      <w:r>
        <w:rPr>
          <w:rFonts w:ascii="Calibri" w:hAnsi="Calibri"/>
          <w:sz w:val="22"/>
        </w:rPr>
        <w:t>2847 S Lamar Blvd, Suite 105, Austin, TX 78704</w:t>
      </w:r>
    </w:p>
    <w:p>
      <w:r>
        <w:br w:type="page"/>
      </w:r>
    </w:p>
    <w:p>
      <w:pPr>
        <w:pStyle w:val="Heading1"/>
      </w:pPr>
      <w:r>
        <w:t>1. Purpose and Scope</w:t>
      </w:r>
    </w:p>
    <w:p>
      <w:pPr>
        <w:spacing w:after="160"/>
      </w:pPr>
      <w:r>
        <w:t>This policy establishes how Otaku Haven LLC values owned inventory, records cost of goods sold, handles consignment merchandise, and documents write-downs, write-offs, and physical count adjustments. It applies to all product categories sold through the store and e-commerce channel, and it must be used together with SOP-007 Inventory Receiving, Stocking, and Cycle Counts.</w:t>
      </w:r>
    </w:p>
    <w:p>
      <w:pPr>
        <w:pStyle w:val="Heading1"/>
      </w:pPr>
      <w:r>
        <w:t>2. Valuation Method</w:t>
      </w:r>
    </w:p>
    <w:p>
      <w:pPr>
        <w:spacing w:after="160"/>
      </w:pPr>
      <w:r>
        <w:t>Otaku Haven LLC values owned inventory using FIFO (First In, First Out). Under FIFO, the oldest acquired unit cost is relieved first when merchandise is sold or written off. FIFO is appropriate for a specialty retailer because it aligns closely with how physical inventory flows through receiving, shelf stocking, and sell-through, and it produces a consistent gross-margin view across recurring reorder cycles.</w:t>
      </w:r>
    </w:p>
    <w:p>
      <w:pPr>
        <w:pStyle w:val="Heading1"/>
      </w:pPr>
      <w:r>
        <w:t>3. Cost Determination by Category</w:t>
      </w:r>
    </w:p>
    <w:p>
      <w:pPr>
        <w:spacing w:after="160"/>
      </w:pPr>
      <w:r>
        <w:t>Unit cost is based on vendor invoice cost plus inbound freight or similar landed costs when those amounts are identifiable and material to the shipment. Otaku Haven applies this standard by category as follows:</w:t>
      </w:r>
    </w:p>
    <w:tbl>
      <w:tblPr>
        <w:tblStyle w:val="TableGrid"/>
        <w:tblW w:type="auto" w:w="0"/>
        <w:tblLook w:firstColumn="1" w:firstRow="1" w:lastColumn="0" w:lastRow="0" w:noHBand="0" w:noVBand="1" w:val="04A0"/>
      </w:tblPr>
      <w:tblGrid>
        <w:gridCol w:w="4824"/>
        <w:gridCol w:w="4824"/>
      </w:tblGrid>
      <w:tr>
        <w:tc>
          <w:tcPr>
            <w:tcW w:type="dxa" w:w="4824"/>
          </w:tcPr>
          <w:p>
            <w:r>
              <w:rPr>
                <w:b/>
              </w:rPr>
              <w:t>Product Category</w:t>
            </w:r>
          </w:p>
        </w:tc>
        <w:tc>
          <w:tcPr>
            <w:tcW w:type="dxa" w:w="4824"/>
          </w:tcPr>
          <w:p>
            <w:r>
              <w:rPr>
                <w:b/>
              </w:rPr>
              <w:t>Cost Determination Standard</w:t>
            </w:r>
          </w:p>
        </w:tc>
      </w:tr>
      <w:tr>
        <w:tc>
          <w:tcPr>
            <w:tcW w:type="dxa" w:w="4824"/>
          </w:tcPr>
          <w:p>
            <w:r>
              <w:t>Figures &amp; Statues</w:t>
            </w:r>
          </w:p>
        </w:tc>
        <w:tc>
          <w:tcPr>
            <w:tcW w:type="dxa" w:w="4824"/>
          </w:tcPr>
          <w:p>
            <w:r>
              <w:t>Vendor invoice cost per unit plus allocated inbound freight when separately billed.</w:t>
            </w:r>
          </w:p>
        </w:tc>
      </w:tr>
      <w:tr>
        <w:tc>
          <w:tcPr>
            <w:tcW w:type="dxa" w:w="4824"/>
          </w:tcPr>
          <w:p>
            <w:r>
              <w:t>Manga &amp; Light Novels</w:t>
            </w:r>
          </w:p>
        </w:tc>
        <w:tc>
          <w:tcPr>
            <w:tcW w:type="dxa" w:w="4824"/>
          </w:tcPr>
          <w:p>
            <w:r>
              <w:t>Vendor invoice cost per unit plus any attributable inbound freight or distributor shipping.</w:t>
            </w:r>
          </w:p>
        </w:tc>
      </w:tr>
      <w:tr>
        <w:tc>
          <w:tcPr>
            <w:tcW w:type="dxa" w:w="4824"/>
          </w:tcPr>
          <w:p>
            <w:r>
              <w:t>Apparel</w:t>
            </w:r>
          </w:p>
        </w:tc>
        <w:tc>
          <w:tcPr>
            <w:tcW w:type="dxa" w:w="4824"/>
          </w:tcPr>
          <w:p>
            <w:r>
              <w:t>Vendor invoice cost per unit plus attributable inbound freight when material.</w:t>
            </w:r>
          </w:p>
        </w:tc>
      </w:tr>
      <w:tr>
        <w:tc>
          <w:tcPr>
            <w:tcW w:type="dxa" w:w="4824"/>
          </w:tcPr>
          <w:p>
            <w:r>
              <w:t>Accessories</w:t>
            </w:r>
          </w:p>
        </w:tc>
        <w:tc>
          <w:tcPr>
            <w:tcW w:type="dxa" w:w="4824"/>
          </w:tcPr>
          <w:p>
            <w:r>
              <w:t>Vendor invoice cost per unit plus attributable inbound freight when material.</w:t>
            </w:r>
          </w:p>
        </w:tc>
      </w:tr>
      <w:tr>
        <w:tc>
          <w:tcPr>
            <w:tcW w:type="dxa" w:w="4824"/>
          </w:tcPr>
          <w:p>
            <w:r>
              <w:t>Home &amp; Lifestyle</w:t>
            </w:r>
          </w:p>
        </w:tc>
        <w:tc>
          <w:tcPr>
            <w:tcW w:type="dxa" w:w="4824"/>
          </w:tcPr>
          <w:p>
            <w:r>
              <w:t>Vendor invoice cost per unit plus attributable inbound freight when material.</w:t>
            </w:r>
          </w:p>
        </w:tc>
      </w:tr>
      <w:tr>
        <w:tc>
          <w:tcPr>
            <w:tcW w:type="dxa" w:w="4824"/>
          </w:tcPr>
          <w:p>
            <w:r>
              <w:t>Trading Cards</w:t>
            </w:r>
          </w:p>
        </w:tc>
        <w:tc>
          <w:tcPr>
            <w:tcW w:type="dxa" w:w="4824"/>
          </w:tcPr>
          <w:p>
            <w:r>
              <w:t>Distributor or vendor invoice cost per sealed product unit plus attributable inbound freight when material.</w:t>
            </w:r>
          </w:p>
        </w:tc>
      </w:tr>
      <w:tr>
        <w:tc>
          <w:tcPr>
            <w:tcW w:type="dxa" w:w="4824"/>
          </w:tcPr>
          <w:p>
            <w:r>
              <w:t>Media</w:t>
            </w:r>
          </w:p>
        </w:tc>
        <w:tc>
          <w:tcPr>
            <w:tcW w:type="dxa" w:w="4824"/>
          </w:tcPr>
          <w:p>
            <w:r>
              <w:t>Vendor invoice cost per unit plus attributable inbound freight when material.</w:t>
            </w:r>
          </w:p>
        </w:tc>
      </w:tr>
      <w:tr>
        <w:tc>
          <w:tcPr>
            <w:tcW w:type="dxa" w:w="4824"/>
          </w:tcPr>
          <w:p>
            <w:r>
              <w:t>Consignment / Local Creator</w:t>
            </w:r>
          </w:p>
        </w:tc>
        <w:tc>
          <w:tcPr>
            <w:tcW w:type="dxa" w:w="4824"/>
          </w:tcPr>
          <w:p>
            <w:r>
              <w:t>Not company-owned inventory; tracked operationally but excluded from Inventory Asset until sold.</w:t>
            </w:r>
          </w:p>
        </w:tc>
      </w:tr>
    </w:tbl>
    <w:p/>
    <w:p>
      <w:pPr>
        <w:pStyle w:val="Heading1"/>
      </w:pPr>
      <w:r>
        <w:t>4. Consignment Inventory</w:t>
      </w:r>
    </w:p>
    <w:p>
      <w:pPr>
        <w:spacing w:after="160"/>
      </w:pPr>
      <w:r>
        <w:t>Consignment merchandise provided by local creators is not owned by Otaku Haven LLC and is therefore recorded off balance sheet until sold. Receipt of consignment goods creates no Inventory Asset entry. When a consignment item is sold, the company records its 40% share to Consignment Revenue and records the remaining 60% due to the creator as Consignment Payable. Payments to creators reduce Consignment Payable and must tie to itemized sales reports.</w:t>
      </w:r>
    </w:p>
    <w:p>
      <w:pPr>
        <w:pStyle w:val="Heading1"/>
      </w:pPr>
      <w:r>
        <w:t>5. Damaged and Defective Goods</w:t>
      </w:r>
    </w:p>
    <w:p>
      <w:pPr>
        <w:spacing w:after="160"/>
      </w:pPr>
      <w:r>
        <w:t>Damaged, defective, or unsaleable goods must be segregated from saleable stock as soon as identified. The Store Manager or Assistant Manager reviews whether the item should be returned to the vendor for credit, marked down to a reduced selling price, or written down or written off because no further recovery is expected. Any reduction below regular selling price or cost must be documented so the inventory record, margin reporting, and shrink analysis remain supportable.</w:t>
      </w:r>
    </w:p>
    <w:p>
      <w:pPr>
        <w:pStyle w:val="Heading1"/>
      </w:pPr>
      <w:r>
        <w:t>6. Markdown Procedures</w:t>
      </w:r>
    </w:p>
    <w:p>
      <w:pPr>
        <w:spacing w:after="160"/>
      </w:pPr>
      <w:r>
        <w:t>Markdowns must be entered in Square with the reason, approving role, date, and affected SKU so the operational record supports downstream accounting review. Otaku Haven uses the following authorization levels for markdowns and discounts:</w:t>
      </w:r>
    </w:p>
    <w:tbl>
      <w:tblPr>
        <w:tblStyle w:val="TableGrid"/>
        <w:tblW w:type="auto" w:w="0"/>
        <w:tblLook w:firstColumn="1" w:firstRow="1" w:lastColumn="0" w:lastRow="0" w:noHBand="0" w:noVBand="1" w:val="04A0"/>
      </w:tblPr>
      <w:tblGrid>
        <w:gridCol w:w="4824"/>
        <w:gridCol w:w="4824"/>
      </w:tblGrid>
      <w:tr>
        <w:tc>
          <w:tcPr>
            <w:tcW w:type="dxa" w:w="4824"/>
          </w:tcPr>
          <w:p>
            <w:r>
              <w:rPr>
                <w:b/>
              </w:rPr>
              <w:t>Role</w:t>
            </w:r>
          </w:p>
        </w:tc>
        <w:tc>
          <w:tcPr>
            <w:tcW w:type="dxa" w:w="4824"/>
          </w:tcPr>
          <w:p>
            <w:r>
              <w:rPr>
                <w:b/>
              </w:rPr>
              <w:t>Maximum Markdown / Discount Authority</w:t>
            </w:r>
          </w:p>
        </w:tc>
      </w:tr>
      <w:tr>
        <w:tc>
          <w:tcPr>
            <w:tcW w:type="dxa" w:w="4824"/>
          </w:tcPr>
          <w:p>
            <w:r>
              <w:t>Sales Associate</w:t>
            </w:r>
          </w:p>
        </w:tc>
        <w:tc>
          <w:tcPr>
            <w:tcW w:type="dxa" w:w="4824"/>
          </w:tcPr>
          <w:p>
            <w:r>
              <w:t>Up to 5%</w:t>
            </w:r>
          </w:p>
        </w:tc>
      </w:tr>
      <w:tr>
        <w:tc>
          <w:tcPr>
            <w:tcW w:type="dxa" w:w="4824"/>
          </w:tcPr>
          <w:p>
            <w:r>
              <w:t>Key Holder</w:t>
            </w:r>
          </w:p>
        </w:tc>
        <w:tc>
          <w:tcPr>
            <w:tcW w:type="dxa" w:w="4824"/>
          </w:tcPr>
          <w:p>
            <w:r>
              <w:t>Up to 10%</w:t>
            </w:r>
          </w:p>
        </w:tc>
      </w:tr>
      <w:tr>
        <w:tc>
          <w:tcPr>
            <w:tcW w:type="dxa" w:w="4824"/>
          </w:tcPr>
          <w:p>
            <w:r>
              <w:t>Assistant Manager</w:t>
            </w:r>
          </w:p>
        </w:tc>
        <w:tc>
          <w:tcPr>
            <w:tcW w:type="dxa" w:w="4824"/>
          </w:tcPr>
          <w:p>
            <w:r>
              <w:t>Up to 15%</w:t>
            </w:r>
          </w:p>
        </w:tc>
      </w:tr>
      <w:tr>
        <w:tc>
          <w:tcPr>
            <w:tcW w:type="dxa" w:w="4824"/>
          </w:tcPr>
          <w:p>
            <w:r>
              <w:t>Store Manager</w:t>
            </w:r>
          </w:p>
        </w:tc>
        <w:tc>
          <w:tcPr>
            <w:tcW w:type="dxa" w:w="4824"/>
          </w:tcPr>
          <w:p>
            <w:r>
              <w:t>Above 15%</w:t>
            </w:r>
          </w:p>
        </w:tc>
      </w:tr>
    </w:tbl>
    <w:p/>
    <w:p>
      <w:pPr>
        <w:spacing w:after="160"/>
      </w:pPr>
      <w:r>
        <w:t>Markdowns that indicate damage, obsolescence, or expected selling prices below cost must be reviewed by the Store Manager so the carrying value can be reduced when needed. Documentation must remain attached to the Square transaction history and any related Inventory Adjustment Form.</w:t>
      </w:r>
    </w:p>
    <w:p>
      <w:pPr>
        <w:pStyle w:val="Heading1"/>
      </w:pPr>
      <w:r>
        <w:t>7. Cycle Count Adjustments</w:t>
      </w:r>
    </w:p>
    <w:p>
      <w:pPr>
        <w:spacing w:after="160"/>
      </w:pPr>
      <w:r>
        <w:t>Cycle counts must follow SOP-007: figures and trading cards are counted weekly, and all remaining categories must be counted on a rotation that touches each category at least monthly. A discrepancy requires formal investigation when it is 2 or more units on a single SKU, exceeds $50 in retail value, or repeats on the same item across count cycles.</w:t>
      </w:r>
    </w:p>
    <w:p>
      <w:pPr>
        <w:spacing w:after="160"/>
      </w:pPr>
      <w:r>
        <w:t>After recount and supervisory review, approved variances are entered in Square for Retail and then reflected in Xero by reducing or increasing Inventory Asset and recording the offset to the relevant category-level COGS account when identifiable, or to COGS – Purchases when the variance is mixed or not category-specific. All adjustments must be supported by the Inventory Adjustment Form and retained count sheets.</w:t>
      </w:r>
    </w:p>
    <w:p>
      <w:pPr>
        <w:pStyle w:val="Heading1"/>
      </w:pPr>
      <w:r>
        <w:t>8. Write-Off Procedures</w:t>
      </w:r>
    </w:p>
    <w:p>
      <w:pPr>
        <w:spacing w:after="160"/>
      </w:pPr>
      <w:r>
        <w:t>The Store Manager may authorize write-offs for individual items with a carrying value below $100. Managing Member approval is required for any single item or batch write-off with a carrying value of $100 or more, or whenever total write-offs for a calendar month exceed $500. Every write-off must be documented in Square and Xero with the date, SKU, quantity, cost basis, reason for disposal, and approver.</w:t>
      </w:r>
    </w:p>
    <w:p>
      <w:pPr>
        <w:pStyle w:val="Heading1"/>
      </w:pPr>
      <w:r>
        <w:t>9. Year-End Inventory</w:t>
      </w:r>
    </w:p>
    <w:p>
      <w:pPr>
        <w:spacing w:after="160"/>
      </w:pPr>
      <w:r>
        <w:t>A full physical inventory count must be performed at year end. Count sheets, recounts, and approved adjustments must be reconciled to the inventory records maintained in Square and to the Inventory Asset balance in Xero. The external accountant reviews the final year-end reconciliation, supporting write-downs, and any material inventory adjustments before the books are finalized for tax reporting.</w:t>
      </w:r>
    </w:p>
    <w:sectPr w:rsidR="00FC693F" w:rsidRPr="0006063C" w:rsidSect="00034616">
      <w:footerReference w:type="default" r:id="rId9"/>
      <w:pgSz w:w="12240" w:h="15840"/>
      <w:pgMar w:top="1224" w:right="1296" w:bottom="108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t xml:space="preserve">Page </w:t>
      <w:fldChar w:fldCharType="begin"/>
      <w:instrText xml:space="preserve">PAGE</w:instrText>
      <w:fldChar w:fldCharType="separate"/>
      <w:t>1</w: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eastAsia="Calibri"/>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eastAsia="Calibri"/>
      <w:b/>
      <w:bCs/>
      <w:color w:val="1F4E79"/>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Calibri" w:hAnsi="Calibri" w:eastAsia="Calibri"/>
      <w:b/>
      <w:color w:val="1F4E79"/>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