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40"/>
        </w:rPr>
        <w:t>Data Security Policy</w:t>
      </w:r>
    </w:p>
    <w:p>
      <w:pPr>
        <w:jc w:val="center"/>
      </w:pPr>
      <w:r>
        <w:rPr>
          <w:rFonts w:ascii="Calibri" w:hAnsi="Calibri"/>
          <w:b/>
          <w:sz w:val="28"/>
        </w:rPr>
        <w:t>Otaku Haven LLC</w:t>
      </w:r>
    </w:p>
    <w:p>
      <w:pPr>
        <w:jc w:val="center"/>
      </w:pPr>
      <w:r>
        <w:rPr>
          <w:rFonts w:ascii="Calibri" w:hAnsi="Calibri"/>
          <w:sz w:val="24"/>
        </w:rPr>
        <w:t>Effective Date: June 1, 2026</w:t>
      </w:r>
    </w:p>
    <w:p>
      <w:pPr>
        <w:jc w:val="center"/>
      </w:pPr>
      <w:r>
        <w:rPr>
          <w:rFonts w:ascii="Calibri" w:hAnsi="Calibri"/>
          <w:sz w:val="22"/>
        </w:rPr>
        <w:t>2847 S Lamar Blvd, Suite 105, Austin, TX 78704</w:t>
      </w:r>
    </w:p>
    <w:p>
      <w:r>
        <w:br w:type="page"/>
      </w:r>
    </w:p>
    <w:p>
      <w:pPr>
        <w:pStyle w:val="Heading1"/>
      </w:pPr>
      <w:r>
        <w:t>1. Purpose and Scope</w:t>
      </w:r>
    </w:p>
    <w:p>
      <w:pPr>
        <w:spacing w:after="160"/>
      </w:pPr>
      <w:r>
        <w:t>This policy establishes baseline data-security and access controls for Otaku Haven LLC systems that store customer, employee, financial, or operational information. It covers Square for Retail, Square Online, Xero, Gusto, Microsoft 365, and the store's security camera system. It does not attempt to replace a full enterprise IT security program; Otaku Haven relies on its cloud providers to manage infrastructure-level security while the company manages user access, data handling, and incident response at the business-user level.</w:t>
      </w:r>
    </w:p>
    <w:p>
      <w:pPr>
        <w:pStyle w:val="Heading1"/>
      </w:pPr>
      <w:r>
        <w:t>2. System Access Matrix</w:t>
      </w:r>
    </w:p>
    <w:tbl>
      <w:tblPr>
        <w:tblStyle w:val="TableGrid"/>
        <w:tblW w:type="auto" w:w="0"/>
        <w:tblLook w:firstColumn="1" w:firstRow="1" w:lastColumn="0" w:lastRow="0" w:noHBand="0" w:noVBand="1" w:val="04A0"/>
      </w:tblPr>
      <w:tblGrid>
        <w:gridCol w:w="1608"/>
        <w:gridCol w:w="1608"/>
        <w:gridCol w:w="1608"/>
        <w:gridCol w:w="1608"/>
        <w:gridCol w:w="1608"/>
        <w:gridCol w:w="1608"/>
      </w:tblGrid>
      <w:tr>
        <w:tc>
          <w:tcPr>
            <w:tcW w:type="dxa" w:w="1608"/>
          </w:tcPr>
          <w:p>
            <w:r>
              <w:rPr>
                <w:b/>
              </w:rPr>
              <w:t>System</w:t>
            </w:r>
          </w:p>
        </w:tc>
        <w:tc>
          <w:tcPr>
            <w:tcW w:type="dxa" w:w="1608"/>
          </w:tcPr>
          <w:p>
            <w:r>
              <w:rPr>
                <w:b/>
              </w:rPr>
              <w:t>Managing Member</w:t>
            </w:r>
          </w:p>
        </w:tc>
        <w:tc>
          <w:tcPr>
            <w:tcW w:type="dxa" w:w="1608"/>
          </w:tcPr>
          <w:p>
            <w:r>
              <w:rPr>
                <w:b/>
              </w:rPr>
              <w:t>Store Manager</w:t>
            </w:r>
          </w:p>
        </w:tc>
        <w:tc>
          <w:tcPr>
            <w:tcW w:type="dxa" w:w="1608"/>
          </w:tcPr>
          <w:p>
            <w:r>
              <w:rPr>
                <w:b/>
              </w:rPr>
              <w:t>Assistant Manager</w:t>
            </w:r>
          </w:p>
        </w:tc>
        <w:tc>
          <w:tcPr>
            <w:tcW w:type="dxa" w:w="1608"/>
          </w:tcPr>
          <w:p>
            <w:r>
              <w:rPr>
                <w:b/>
              </w:rPr>
              <w:t>Key Holder</w:t>
            </w:r>
          </w:p>
        </w:tc>
        <w:tc>
          <w:tcPr>
            <w:tcW w:type="dxa" w:w="1608"/>
          </w:tcPr>
          <w:p>
            <w:r>
              <w:rPr>
                <w:b/>
              </w:rPr>
              <w:t>Sales Associate</w:t>
            </w:r>
          </w:p>
        </w:tc>
      </w:tr>
      <w:tr>
        <w:tc>
          <w:tcPr>
            <w:tcW w:type="dxa" w:w="1608"/>
          </w:tcPr>
          <w:p>
            <w:r>
              <w:t>Square (POS)</w:t>
            </w:r>
          </w:p>
        </w:tc>
        <w:tc>
          <w:tcPr>
            <w:tcW w:type="dxa" w:w="1608"/>
          </w:tcPr>
          <w:p>
            <w:r>
              <w:t>Full admin</w:t>
            </w:r>
          </w:p>
        </w:tc>
        <w:tc>
          <w:tcPr>
            <w:tcW w:type="dxa" w:w="1608"/>
          </w:tcPr>
          <w:p>
            <w:r>
              <w:t>Full admin</w:t>
            </w:r>
          </w:p>
        </w:tc>
        <w:tc>
          <w:tcPr>
            <w:tcW w:type="dxa" w:w="1608"/>
          </w:tcPr>
          <w:p>
            <w:r>
              <w:t>Manager-level</w:t>
            </w:r>
          </w:p>
        </w:tc>
        <w:tc>
          <w:tcPr>
            <w:tcW w:type="dxa" w:w="1608"/>
          </w:tcPr>
          <w:p>
            <w:r>
              <w:t>Standard cashier</w:t>
            </w:r>
          </w:p>
        </w:tc>
        <w:tc>
          <w:tcPr>
            <w:tcW w:type="dxa" w:w="1608"/>
          </w:tcPr>
          <w:p>
            <w:r>
              <w:t>Standard cashier</w:t>
            </w:r>
          </w:p>
        </w:tc>
      </w:tr>
      <w:tr>
        <w:tc>
          <w:tcPr>
            <w:tcW w:type="dxa" w:w="1608"/>
          </w:tcPr>
          <w:p>
            <w:r>
              <w:t>Xero</w:t>
            </w:r>
          </w:p>
        </w:tc>
        <w:tc>
          <w:tcPr>
            <w:tcW w:type="dxa" w:w="1608"/>
          </w:tcPr>
          <w:p>
            <w:r>
              <w:t>Full admin</w:t>
            </w:r>
          </w:p>
        </w:tc>
        <w:tc>
          <w:tcPr>
            <w:tcW w:type="dxa" w:w="1608"/>
          </w:tcPr>
          <w:p>
            <w:r>
              <w:t>Read/report</w:t>
            </w:r>
          </w:p>
        </w:tc>
        <w:tc>
          <w:tcPr>
            <w:tcW w:type="dxa" w:w="1608"/>
          </w:tcPr>
          <w:p>
            <w:r>
              <w:t>No access</w:t>
            </w:r>
          </w:p>
        </w:tc>
        <w:tc>
          <w:tcPr>
            <w:tcW w:type="dxa" w:w="1608"/>
          </w:tcPr>
          <w:p>
            <w:r>
              <w:t>No access</w:t>
            </w:r>
          </w:p>
        </w:tc>
        <w:tc>
          <w:tcPr>
            <w:tcW w:type="dxa" w:w="1608"/>
          </w:tcPr>
          <w:p>
            <w:r>
              <w:t>No access</w:t>
            </w:r>
          </w:p>
        </w:tc>
      </w:tr>
      <w:tr>
        <w:tc>
          <w:tcPr>
            <w:tcW w:type="dxa" w:w="1608"/>
          </w:tcPr>
          <w:p>
            <w:r>
              <w:t>Gusto</w:t>
            </w:r>
          </w:p>
        </w:tc>
        <w:tc>
          <w:tcPr>
            <w:tcW w:type="dxa" w:w="1608"/>
          </w:tcPr>
          <w:p>
            <w:r>
              <w:t>Full admin</w:t>
            </w:r>
          </w:p>
        </w:tc>
        <w:tc>
          <w:tcPr>
            <w:tcW w:type="dxa" w:w="1608"/>
          </w:tcPr>
          <w:p>
            <w:r>
              <w:t>Employee self-service</w:t>
            </w:r>
          </w:p>
        </w:tc>
        <w:tc>
          <w:tcPr>
            <w:tcW w:type="dxa" w:w="1608"/>
          </w:tcPr>
          <w:p>
            <w:r>
              <w:t>Employee self-service</w:t>
            </w:r>
          </w:p>
        </w:tc>
        <w:tc>
          <w:tcPr>
            <w:tcW w:type="dxa" w:w="1608"/>
          </w:tcPr>
          <w:p>
            <w:r>
              <w:t>Employee self-service</w:t>
            </w:r>
          </w:p>
        </w:tc>
        <w:tc>
          <w:tcPr>
            <w:tcW w:type="dxa" w:w="1608"/>
          </w:tcPr>
          <w:p>
            <w:r>
              <w:t>Employee self-service</w:t>
            </w:r>
          </w:p>
        </w:tc>
      </w:tr>
      <w:tr>
        <w:tc>
          <w:tcPr>
            <w:tcW w:type="dxa" w:w="1608"/>
          </w:tcPr>
          <w:p>
            <w:r>
              <w:t>M365</w:t>
            </w:r>
          </w:p>
        </w:tc>
        <w:tc>
          <w:tcPr>
            <w:tcW w:type="dxa" w:w="1608"/>
          </w:tcPr>
          <w:p>
            <w:r>
              <w:t>Full admin</w:t>
            </w:r>
          </w:p>
        </w:tc>
        <w:tc>
          <w:tcPr>
            <w:tcW w:type="dxa" w:w="1608"/>
          </w:tcPr>
          <w:p>
            <w:r>
              <w:t>Standard user</w:t>
            </w:r>
          </w:p>
        </w:tc>
        <w:tc>
          <w:tcPr>
            <w:tcW w:type="dxa" w:w="1608"/>
          </w:tcPr>
          <w:p>
            <w:r>
              <w:t>Standard user</w:t>
            </w:r>
          </w:p>
        </w:tc>
        <w:tc>
          <w:tcPr>
            <w:tcW w:type="dxa" w:w="1608"/>
          </w:tcPr>
          <w:p>
            <w:r>
              <w:t>Standard user</w:t>
            </w:r>
          </w:p>
        </w:tc>
        <w:tc>
          <w:tcPr>
            <w:tcW w:type="dxa" w:w="1608"/>
          </w:tcPr>
          <w:p>
            <w:r>
              <w:t>Standard user</w:t>
            </w:r>
          </w:p>
        </w:tc>
      </w:tr>
      <w:tr>
        <w:tc>
          <w:tcPr>
            <w:tcW w:type="dxa" w:w="1608"/>
          </w:tcPr>
          <w:p>
            <w:r>
              <w:t>Security cameras</w:t>
            </w:r>
          </w:p>
        </w:tc>
        <w:tc>
          <w:tcPr>
            <w:tcW w:type="dxa" w:w="1608"/>
          </w:tcPr>
          <w:p>
            <w:r>
              <w:t>Full access</w:t>
            </w:r>
          </w:p>
        </w:tc>
        <w:tc>
          <w:tcPr>
            <w:tcW w:type="dxa" w:w="1608"/>
          </w:tcPr>
          <w:p>
            <w:r>
              <w:t>Full access</w:t>
            </w:r>
          </w:p>
        </w:tc>
        <w:tc>
          <w:tcPr>
            <w:tcW w:type="dxa" w:w="1608"/>
          </w:tcPr>
          <w:p>
            <w:r>
              <w:t>Manager-directed review</w:t>
            </w:r>
          </w:p>
        </w:tc>
        <w:tc>
          <w:tcPr>
            <w:tcW w:type="dxa" w:w="1608"/>
          </w:tcPr>
          <w:p>
            <w:r>
              <w:t>No access</w:t>
            </w:r>
          </w:p>
        </w:tc>
        <w:tc>
          <w:tcPr>
            <w:tcW w:type="dxa" w:w="1608"/>
          </w:tcPr>
          <w:p>
            <w:r>
              <w:t>No access</w:t>
            </w:r>
          </w:p>
        </w:tc>
      </w:tr>
    </w:tbl>
    <w:p/>
    <w:p>
      <w:pPr>
        <w:pStyle w:val="Heading1"/>
      </w:pPr>
      <w:r>
        <w:t>3. Password Requirements</w:t>
      </w:r>
    </w:p>
    <w:p>
      <w:pPr>
        <w:spacing w:after="160"/>
      </w:pPr>
      <w:r>
        <w:t>Passwords must be at least 12 characters long, unique to each system, and never shared between employees. Where supported, authentication should be managed through Microsoft 365 credentials or approved single sign-on controls. Shared passwords, generic user accounts, and reuse of personal passwords for company systems are prohibited.</w:t>
      </w:r>
    </w:p>
    <w:p>
      <w:pPr>
        <w:pStyle w:val="Heading1"/>
      </w:pPr>
      <w:r>
        <w:t>4. Access Provisioning</w:t>
      </w:r>
    </w:p>
    <w:p>
      <w:pPr>
        <w:spacing w:after="160"/>
      </w:pPr>
      <w:r>
        <w:t>New employee access must be provisioned on the day of hire by the Store Manager for Square, Microsoft 365, and Gusto employee self-service enrollment. Xero access may be granted only to roles shown in the access matrix, and the Managing Member retains administrative authority over Xero and Gusto. Access must match the employee's role and be limited to the minimum necessary to perform assigned duties.</w:t>
      </w:r>
    </w:p>
    <w:p>
      <w:pPr>
        <w:pStyle w:val="Heading1"/>
      </w:pPr>
      <w:r>
        <w:t>5. Access Deprovisioning</w:t>
      </w:r>
    </w:p>
    <w:p>
      <w:pPr>
        <w:spacing w:after="160"/>
      </w:pPr>
      <w:r>
        <w:t>All company access must be revoked the same day an employee resigns or is terminated. The Store Manager is responsible for executing deprovisioning within 2 hours of separation and must notify the Managing Member immediately so any additional administrator actions, including changes to bank, payroll, or accounting permissions, can be completed without delay.</w:t>
      </w:r>
    </w:p>
    <w:p>
      <w:pPr>
        <w:pStyle w:val="Heading1"/>
      </w:pPr>
      <w:r>
        <w:t>6. Customer Data Handling</w:t>
      </w:r>
    </w:p>
    <w:p>
      <w:pPr>
        <w:spacing w:after="160"/>
      </w:pPr>
      <w:r>
        <w:t>Customer data covered by this policy includes loyalty program data in Square and email-list or marketing data stored through Microsoft 365 or an approved marketing platform. Otaku Haven may collect and use customer name, email address, and purchase history for business purposes, but it does not store payment card numbers because Square handles payment processing and PCI obligations. Customer data is retained in accordance with the Record Retention Policy and may not be sold or shared outside authorized business uses.</w:t>
      </w:r>
    </w:p>
    <w:p>
      <w:pPr>
        <w:pStyle w:val="Heading1"/>
      </w:pPr>
      <w:r>
        <w:t>7. POS Data Security</w:t>
      </w:r>
    </w:p>
    <w:p>
      <w:pPr>
        <w:spacing w:after="160"/>
      </w:pPr>
      <w:r>
        <w:t>Square is responsible for PCI DSS compliance under its merchant agreement. Otaku Haven staff must not capture, photograph, write down, or otherwise store cardholder data outside Square. Receipts or reports that include masked card data must be handled only through approved Square workflows and retained only as required for operational or audit support.</w:t>
      </w:r>
    </w:p>
    <w:p>
      <w:pPr>
        <w:pStyle w:val="Heading1"/>
      </w:pPr>
      <w:r>
        <w:t>8. Physical Security of Financial Records</w:t>
      </w:r>
    </w:p>
    <w:p>
      <w:pPr>
        <w:spacing w:after="160"/>
      </w:pPr>
      <w:r>
        <w:t>Physical financial, payroll, and personnel records must be stored in a locked file cabinet in the back office. Back-office access for these records is restricted to the Store Manager and above unless temporary access is specifically authorized for a business need. Keys, combinations, and storage locations for sensitive records must not be shared with unauthorized staff.</w:t>
      </w:r>
    </w:p>
    <w:p>
      <w:pPr>
        <w:pStyle w:val="Heading1"/>
      </w:pPr>
      <w:r>
        <w:t>9. Incident Response</w:t>
      </w:r>
    </w:p>
    <w:p>
      <w:pPr>
        <w:spacing w:after="160"/>
      </w:pPr>
      <w:r>
        <w:t>If a data breach or unauthorized disclosure is suspected, Otaku Haven must take the following actions immediately:</w:t>
      </w:r>
    </w:p>
    <w:p>
      <w:pPr>
        <w:pStyle w:val="ListBullet"/>
        <w:spacing w:after="80"/>
      </w:pPr>
      <w:r>
        <w:t>Notify the Managing Member immediately.</w:t>
      </w:r>
    </w:p>
    <w:p>
      <w:pPr>
        <w:pStyle w:val="ListBullet"/>
        <w:spacing w:after="80"/>
      </w:pPr>
      <w:r>
        <w:t>Preserve evidence and avoid deleting logs, messages, or affected records.</w:t>
      </w:r>
    </w:p>
    <w:p>
      <w:pPr>
        <w:pStyle w:val="ListBullet"/>
        <w:spacing w:after="80"/>
      </w:pPr>
      <w:r>
        <w:t>Assess scope and impact with external counsel or other advisors if needed.</w:t>
      </w:r>
    </w:p>
    <w:p>
      <w:pPr>
        <w:pStyle w:val="ListBullet"/>
        <w:spacing w:after="80"/>
      </w:pPr>
      <w:r>
        <w:t>Notify affected individuals as required by Texas Business &amp; Commerce Code Chapter 521, including notification within 60 days of discovery when applicable.</w:t>
      </w:r>
    </w:p>
    <w:p>
      <w:pPr>
        <w:pStyle w:val="ListBullet"/>
        <w:spacing w:after="80"/>
      </w:pPr>
      <w:r>
        <w:t>Document the incident, actions taken, and follow-up steps in Microsoft 365.</w:t>
      </w:r>
    </w:p>
    <w:p>
      <w:pPr>
        <w:pStyle w:val="Heading1"/>
      </w:pPr>
      <w:r>
        <w:t>10. Reference</w:t>
      </w:r>
    </w:p>
    <w:p>
      <w:pPr>
        <w:spacing w:after="160"/>
      </w:pPr>
      <w:r>
        <w:t>This policy supplements the Confidentiality and Trade Secrets / Intellectual Property Policy and the Discipline and Termination Procedure in the Employee Handbook. Violations may result in corrective action up to and including termination. If a conflict arises between this policy and another internal policy on a data-security issue, this policy governs for data-security matters.</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