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40"/>
        </w:rPr>
        <w:t>Cash Management Policy</w:t>
      </w:r>
    </w:p>
    <w:p>
      <w:pPr>
        <w:jc w:val="center"/>
      </w:pPr>
      <w:r>
        <w:rPr>
          <w:rFonts w:ascii="Calibri" w:hAnsi="Calibri"/>
          <w:b/>
          <w:sz w:val="28"/>
        </w:rPr>
        <w:t>Otaku Haven LLC</w:t>
      </w:r>
    </w:p>
    <w:p>
      <w:pPr>
        <w:jc w:val="center"/>
      </w:pPr>
      <w:r>
        <w:rPr>
          <w:rFonts w:ascii="Calibri" w:hAnsi="Calibri"/>
          <w:sz w:val="24"/>
        </w:rPr>
        <w:t>Effective Date: June 1, 2026</w:t>
      </w:r>
    </w:p>
    <w:p>
      <w:pPr>
        <w:jc w:val="center"/>
      </w:pPr>
      <w:r>
        <w:rPr>
          <w:rFonts w:ascii="Calibri" w:hAnsi="Calibri"/>
          <w:sz w:val="22"/>
        </w:rPr>
        <w:t>2847 S Lamar Blvd, Suite 105, Austin, TX 78704</w:t>
      </w:r>
    </w:p>
    <w:p>
      <w:r>
        <w:br w:type="page"/>
      </w:r>
    </w:p>
    <w:p>
      <w:pPr>
        <w:pStyle w:val="Heading1"/>
      </w:pPr>
      <w:r>
        <w:t>1. Purpose and Scope</w:t>
      </w:r>
    </w:p>
    <w:p>
      <w:pPr>
        <w:spacing w:after="160"/>
      </w:pPr>
      <w:r>
        <w:t>This policy defines how Otaku Haven LLC authorizes expenditures, controls cash, manages petty cash, and segregates duties around receipts and disbursements. It applies to the primary operating checking account, petty cash fund, daily store cash receipts, electronic disbursements, and related reconciliation activities.</w:t>
      </w:r>
    </w:p>
    <w:p>
      <w:pPr>
        <w:pStyle w:val="Heading1"/>
      </w:pPr>
      <w:r>
        <w:t>2. Authorized Bank Signers</w:t>
      </w:r>
    </w:p>
    <w:p>
      <w:pPr>
        <w:spacing w:after="160"/>
      </w:pPr>
      <w:r>
        <w:t>The authorized signers on Otaku Haven LLC bank accounts are James Whitfield, Managing Member, and Kelli Nakamura, Member/Operations Lead. No other employee may be added as a bank signer without member approval and updated bank authorization documents.</w:t>
      </w:r>
    </w:p>
    <w:p>
      <w:pPr>
        <w:pStyle w:val="Heading1"/>
      </w:pPr>
      <w:r>
        <w:t>3. Expenditure Approval Thresholds</w:t>
      </w:r>
    </w:p>
    <w:tbl>
      <w:tblPr>
        <w:tblStyle w:val="TableGrid"/>
        <w:tblW w:type="auto" w:w="0"/>
        <w:tblLook w:firstColumn="1" w:firstRow="1" w:lastColumn="0" w:lastRow="0" w:noHBand="0" w:noVBand="1" w:val="04A0"/>
      </w:tblPr>
      <w:tblGrid>
        <w:gridCol w:w="4824"/>
        <w:gridCol w:w="4824"/>
      </w:tblGrid>
      <w:tr>
        <w:tc>
          <w:tcPr>
            <w:tcW w:type="dxa" w:w="4824"/>
          </w:tcPr>
          <w:p>
            <w:r>
              <w:rPr>
                <w:b/>
              </w:rPr>
              <w:t>Expenditure Type</w:t>
            </w:r>
          </w:p>
        </w:tc>
        <w:tc>
          <w:tcPr>
            <w:tcW w:type="dxa" w:w="4824"/>
          </w:tcPr>
          <w:p>
            <w:r>
              <w:rPr>
                <w:b/>
              </w:rPr>
              <w:t>Approval Standard</w:t>
            </w:r>
          </w:p>
        </w:tc>
      </w:tr>
      <w:tr>
        <w:tc>
          <w:tcPr>
            <w:tcW w:type="dxa" w:w="4824"/>
          </w:tcPr>
          <w:p>
            <w:r>
              <w:t>Routine operating expenses</w:t>
            </w:r>
          </w:p>
        </w:tc>
        <w:tc>
          <w:tcPr>
            <w:tcW w:type="dxa" w:w="4824"/>
          </w:tcPr>
          <w:p>
            <w:r>
              <w:t>Store Manager may approve up to $2,500 per transaction for pre-approved categories such as inventory reorders and recurring subscriptions.</w:t>
            </w:r>
          </w:p>
        </w:tc>
      </w:tr>
      <w:tr>
        <w:tc>
          <w:tcPr>
            <w:tcW w:type="dxa" w:w="4824"/>
          </w:tcPr>
          <w:p>
            <w:r>
              <w:t>Non-routine or unbudgeted expenses</w:t>
            </w:r>
          </w:p>
        </w:tc>
        <w:tc>
          <w:tcPr>
            <w:tcW w:type="dxa" w:w="4824"/>
          </w:tcPr>
          <w:p>
            <w:r>
              <w:t>Managing Member approval is required for any single expense over $500.</w:t>
            </w:r>
          </w:p>
        </w:tc>
      </w:tr>
      <w:tr>
        <w:tc>
          <w:tcPr>
            <w:tcW w:type="dxa" w:w="4824"/>
          </w:tcPr>
          <w:p>
            <w:r>
              <w:t>Capital expenditures</w:t>
            </w:r>
          </w:p>
        </w:tc>
        <w:tc>
          <w:tcPr>
            <w:tcW w:type="dxa" w:w="4824"/>
          </w:tcPr>
          <w:p>
            <w:r>
              <w:t>Managing Member approval is required regardless of amount.</w:t>
            </w:r>
          </w:p>
        </w:tc>
      </w:tr>
      <w:tr>
        <w:tc>
          <w:tcPr>
            <w:tcW w:type="dxa" w:w="4824"/>
          </w:tcPr>
          <w:p>
            <w:r>
              <w:t>Emergency purchases</w:t>
            </w:r>
          </w:p>
        </w:tc>
        <w:tc>
          <w:tcPr>
            <w:tcW w:type="dxa" w:w="4824"/>
          </w:tcPr>
          <w:p>
            <w:r>
              <w:t>Store Manager may approve up to $500 with same-day notification to the Managing Member.</w:t>
            </w:r>
          </w:p>
        </w:tc>
      </w:tr>
    </w:tbl>
    <w:p/>
    <w:p>
      <w:pPr>
        <w:pStyle w:val="Heading1"/>
      </w:pPr>
      <w:r>
        <w:t>4. Petty Cash</w:t>
      </w:r>
    </w:p>
    <w:p>
      <w:pPr>
        <w:spacing w:after="160"/>
      </w:pPr>
      <w:r>
        <w:t>Otaku Haven maintains a petty cash fund of $250. The Store Manager is the petty cash custodian and is responsible for safeguarding the fund in the locked back-office storage area, maintaining receipts or petty cash vouchers for every disbursement, and ensuring the cash-on-hand plus receipts always reconcile to the authorized fund balance.</w:t>
      </w:r>
    </w:p>
    <w:p>
      <w:pPr>
        <w:pStyle w:val="ListBullet"/>
        <w:spacing w:after="80"/>
      </w:pPr>
      <w:r>
        <w:t>The maximum single petty cash disbursement is $50.</w:t>
      </w:r>
    </w:p>
    <w:p>
      <w:pPr>
        <w:pStyle w:val="ListBullet"/>
        <w:spacing w:after="80"/>
      </w:pPr>
      <w:r>
        <w:t>Petty cash may be used only for small business expenses that cannot be paid efficiently through normal purchasing channels.</w:t>
      </w:r>
    </w:p>
    <w:p>
      <w:pPr>
        <w:pStyle w:val="ListBullet"/>
        <w:spacing w:after="80"/>
      </w:pPr>
      <w:r>
        <w:t>Petty cash may not be used for loans, advances, payroll, or check-cashing.</w:t>
      </w:r>
    </w:p>
    <w:p>
      <w:pPr>
        <w:pStyle w:val="ListBullet"/>
        <w:spacing w:after="80"/>
      </w:pPr>
      <w:r>
        <w:t>Replenishment requests must include receipts and are processed through the normal disbursement approval workflow so the fund is restored to $250.</w:t>
      </w:r>
    </w:p>
    <w:p>
      <w:pPr>
        <w:pStyle w:val="Heading1"/>
      </w:pPr>
      <w:r>
        <w:t>5. Cash Handling Controls</w:t>
      </w:r>
    </w:p>
    <w:p>
      <w:pPr>
        <w:spacing w:after="160"/>
      </w:pPr>
      <w:r>
        <w:t>Daily register procedures are governed by SOP-003 Cash Handling. This policy adopts the following required control thresholds and safeguards:</w:t>
      </w:r>
    </w:p>
    <w:tbl>
      <w:tblPr>
        <w:tblStyle w:val="TableGrid"/>
        <w:tblW w:type="auto" w:w="0"/>
        <w:tblLook w:firstColumn="1" w:firstRow="1" w:lastColumn="0" w:lastRow="0" w:noHBand="0" w:noVBand="1" w:val="04A0"/>
      </w:tblPr>
      <w:tblGrid>
        <w:gridCol w:w="4824"/>
        <w:gridCol w:w="4824"/>
      </w:tblGrid>
      <w:tr>
        <w:tc>
          <w:tcPr>
            <w:tcW w:type="dxa" w:w="4824"/>
          </w:tcPr>
          <w:p>
            <w:r>
              <w:rPr>
                <w:b/>
              </w:rPr>
              <w:t>Control Area</w:t>
            </w:r>
          </w:p>
        </w:tc>
        <w:tc>
          <w:tcPr>
            <w:tcW w:type="dxa" w:w="4824"/>
          </w:tcPr>
          <w:p>
            <w:r>
              <w:rPr>
                <w:b/>
              </w:rPr>
              <w:t>Standard</w:t>
            </w:r>
          </w:p>
        </w:tc>
      </w:tr>
      <w:tr>
        <w:tc>
          <w:tcPr>
            <w:tcW w:type="dxa" w:w="4824"/>
          </w:tcPr>
          <w:p>
            <w:r>
              <w:t>Starting cash float</w:t>
            </w:r>
          </w:p>
        </w:tc>
        <w:tc>
          <w:tcPr>
            <w:tcW w:type="dxa" w:w="4824"/>
          </w:tcPr>
          <w:p>
            <w:r>
              <w:t>$250 per opening drawer</w:t>
            </w:r>
          </w:p>
        </w:tc>
      </w:tr>
      <w:tr>
        <w:tc>
          <w:tcPr>
            <w:tcW w:type="dxa" w:w="4824"/>
          </w:tcPr>
          <w:p>
            <w:r>
              <w:t>Acceptable variance</w:t>
            </w:r>
          </w:p>
        </w:tc>
        <w:tc>
          <w:tcPr>
            <w:tcW w:type="dxa" w:w="4824"/>
          </w:tcPr>
          <w:p>
            <w:r>
              <w:t>Plus or minus $5; documentation only</w:t>
            </w:r>
          </w:p>
        </w:tc>
      </w:tr>
      <w:tr>
        <w:tc>
          <w:tcPr>
            <w:tcW w:type="dxa" w:w="4824"/>
          </w:tcPr>
          <w:p>
            <w:r>
              <w:t>Manager notification threshold</w:t>
            </w:r>
          </w:p>
        </w:tc>
        <w:tc>
          <w:tcPr>
            <w:tcW w:type="dxa" w:w="4824"/>
          </w:tcPr>
          <w:p>
            <w:r>
              <w:t>Greater than $10 variance before end of shift</w:t>
            </w:r>
          </w:p>
        </w:tc>
      </w:tr>
      <w:tr>
        <w:tc>
          <w:tcPr>
            <w:tcW w:type="dxa" w:w="4824"/>
          </w:tcPr>
          <w:p>
            <w:r>
              <w:t>Investigation threshold</w:t>
            </w:r>
          </w:p>
        </w:tc>
        <w:tc>
          <w:tcPr>
            <w:tcW w:type="dxa" w:w="4824"/>
          </w:tcPr>
          <w:p>
            <w:r>
              <w:t>Greater than $25 variance requiring Store Manager investigation</w:t>
            </w:r>
          </w:p>
        </w:tc>
      </w:tr>
      <w:tr>
        <w:tc>
          <w:tcPr>
            <w:tcW w:type="dxa" w:w="4824"/>
          </w:tcPr>
          <w:p>
            <w:r>
              <w:t>Mid-day cash pull trigger</w:t>
            </w:r>
          </w:p>
        </w:tc>
        <w:tc>
          <w:tcPr>
            <w:tcW w:type="dxa" w:w="4824"/>
          </w:tcPr>
          <w:p>
            <w:r>
              <w:t>$500 cash-on-hand</w:t>
            </w:r>
          </w:p>
        </w:tc>
      </w:tr>
      <w:tr>
        <w:tc>
          <w:tcPr>
            <w:tcW w:type="dxa" w:w="4824"/>
          </w:tcPr>
          <w:p>
            <w:r>
              <w:t>Deposit timing</w:t>
            </w:r>
          </w:p>
        </w:tc>
        <w:tc>
          <w:tcPr>
            <w:tcW w:type="dxa" w:w="4824"/>
          </w:tcPr>
          <w:p>
            <w:r>
              <w:t>One deposit cycle per business day after close; sealed bag stored overnight if needed and bank night-drop completed next banking day</w:t>
            </w:r>
          </w:p>
        </w:tc>
      </w:tr>
      <w:tr>
        <w:tc>
          <w:tcPr>
            <w:tcW w:type="dxa" w:w="4824"/>
          </w:tcPr>
          <w:p>
            <w:r>
              <w:t>Safe access</w:t>
            </w:r>
          </w:p>
        </w:tc>
        <w:tc>
          <w:tcPr>
            <w:tcW w:type="dxa" w:w="4824"/>
          </w:tcPr>
          <w:p>
            <w:r>
              <w:t>Store Manager and Assistant Manager have full access; a Key Holder acting as closing manager may use the drop slot only and may not access stored contents</w:t>
            </w:r>
          </w:p>
        </w:tc>
      </w:tr>
    </w:tbl>
    <w:p/>
    <w:p>
      <w:pPr>
        <w:spacing w:after="160"/>
      </w:pPr>
      <w:r>
        <w:t>Cash drawers should be assigned to one employee at a time whenever practicable, final counts must be supervised by a Key Holder or higher, and all variances must be recorded on the Cash Variance Log retained in the manager file.</w:t>
      </w:r>
    </w:p>
    <w:p>
      <w:pPr>
        <w:pStyle w:val="Heading1"/>
      </w:pPr>
      <w:r>
        <w:t>6. Segregation of Duties</w:t>
      </w:r>
    </w:p>
    <w:p>
      <w:pPr>
        <w:spacing w:after="160"/>
      </w:pPr>
      <w:r>
        <w:t>For an eight-person retail operation, Otaku Haven separates custody, recording, approval, and review responsibilities to the extent practical. The employee who handles cash at the register is not the same person who prepares the monthly reconciliation, and the person who approves an expense is not the same person who processes payment when staffing permits.</w:t>
      </w:r>
    </w:p>
    <w:p>
      <w:pPr>
        <w:pStyle w:val="ListBullet"/>
        <w:spacing w:after="80"/>
      </w:pPr>
      <w:r>
        <w:t>Sales Associates and Key Holders may handle drawers and customer cash but do not perform monthly Xero reconciliations.</w:t>
      </w:r>
    </w:p>
    <w:p>
      <w:pPr>
        <w:pStyle w:val="ListBullet"/>
        <w:spacing w:after="80"/>
      </w:pPr>
      <w:r>
        <w:t>The Store Manager or Assistant Manager supervises closeout and deposit preparation, while the Managing Member reviews the resulting monthly bank reconciliation.</w:t>
      </w:r>
    </w:p>
    <w:p>
      <w:pPr>
        <w:pStyle w:val="ListBullet"/>
        <w:spacing w:after="80"/>
      </w:pPr>
      <w:r>
        <w:t>The Managing Member reviews monthly reconciliations and material cash exceptions as an oversight control independent from day-to-day cash custody.</w:t>
      </w:r>
    </w:p>
    <w:p>
      <w:pPr>
        <w:pStyle w:val="Heading1"/>
      </w:pPr>
      <w:r>
        <w:t>7. Refund and Discount Authorization</w:t>
      </w:r>
    </w:p>
    <w:p>
      <w:pPr>
        <w:spacing w:after="160"/>
      </w:pPr>
      <w:r>
        <w:t>Refunds and returns must follow SOP-005 Return and Exchange procedures. Discounts and markdowns must follow SOP-004 authority levels and be documented in Square at the time of the transaction. The discount authority matrix is: Sales Associate up to 5%, Key Holder up to 10%, Assistant Manager up to 15%, and Store Manager above 15%.</w:t>
      </w:r>
    </w:p>
    <w:p>
      <w:pPr>
        <w:pStyle w:val="Heading1"/>
      </w:pPr>
      <w:r>
        <w:t>8. Bank Reconciliation Responsibilities</w:t>
      </w:r>
    </w:p>
    <w:p>
      <w:pPr>
        <w:spacing w:after="160"/>
      </w:pPr>
      <w:r>
        <w:t>The Store Manager prepares the monthly Xero bank reconciliation for the operating account using bank statements, Square payout reports, deposit records, and supporting disbursement documentation. The Managing Member reviews and approves the completed reconciliation within 5 business days of month end, with the external accountant assisting as needed on open items or adjusting entries.</w:t>
      </w:r>
    </w:p>
    <w:p>
      <w:pPr>
        <w:pStyle w:val="Heading1"/>
      </w:pPr>
      <w:r>
        <w:t>9. Check / ACH Controls</w:t>
      </w:r>
    </w:p>
    <w:p>
      <w:pPr>
        <w:spacing w:after="160"/>
      </w:pPr>
      <w:r>
        <w:t>Checks and ACH payments may be initiated only by authorized signers or under their documented direction. Dual approval is required for any disbursement over $5,000, meaning both authorized signers must approve the payment before release. Payment support must include the invoice or expense documentation, coding, and evidence of approval retained in Xero or Microsoft 365.</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fldChar w:fldCharType="begin"/>
      <w:instrText xml:space="preserve">PAGE</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eastAsia="Calibr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eastAsia="Calibr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