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40"/>
        </w:rPr>
        <w:t>Accounting Policies</w:t>
      </w:r>
    </w:p>
    <w:p>
      <w:pPr>
        <w:jc w:val="center"/>
      </w:pPr>
      <w:r>
        <w:rPr>
          <w:rFonts w:ascii="Calibri" w:hAnsi="Calibri"/>
          <w:b/>
          <w:sz w:val="28"/>
        </w:rPr>
        <w:t>Otaku Haven LLC</w:t>
      </w:r>
    </w:p>
    <w:p>
      <w:pPr>
        <w:jc w:val="center"/>
      </w:pPr>
      <w:r>
        <w:rPr>
          <w:rFonts w:ascii="Calibri" w:hAnsi="Calibri"/>
          <w:sz w:val="24"/>
        </w:rPr>
        <w:t>Effective Date: June 1, 2026</w:t>
      </w:r>
    </w:p>
    <w:p>
      <w:pPr>
        <w:jc w:val="center"/>
      </w:pPr>
      <w:r>
        <w:rPr>
          <w:rFonts w:ascii="Calibri" w:hAnsi="Calibri"/>
          <w:sz w:val="22"/>
        </w:rPr>
        <w:t>2847 S Lamar Blvd, Suite 105, Austin, TX 78704</w:t>
      </w:r>
    </w:p>
    <w:p>
      <w:r>
        <w:br w:type="page"/>
      </w:r>
    </w:p>
    <w:p>
      <w:pPr>
        <w:pStyle w:val="Heading1"/>
      </w:pPr>
      <w:r>
        <w:t>1. Overview</w:t>
      </w:r>
    </w:p>
    <w:p>
      <w:pPr>
        <w:spacing w:after="160"/>
      </w:pPr>
      <w:r>
        <w:t>Otaku Haven LLC adopts these Accounting Policies effective June 1, 2026 to govern the preparation of internal financial records, external tax support schedules, and management reporting for the Austin retail store operating at 2847 S Lamar Blvd, Suite 105, Austin, TX 78704. This policy applies to all financial activity recorded in Xero, Square for Retail, Square Online, Gusto, and supporting Microsoft 365 files.</w:t>
      </w:r>
    </w:p>
    <w:p>
      <w:pPr>
        <w:spacing w:after="160"/>
      </w:pPr>
      <w:r>
        <w:t>Xero is the company's system of record for the general ledger, accounts payable and receivable, financial reporting, and bank reconciliation. Square for Retail and Square Online serve as the sales subledger and transaction source, while Gusto supports payroll processing and payroll reports that feed the books.</w:t>
      </w:r>
    </w:p>
    <w:p>
      <w:pPr>
        <w:pStyle w:val="Heading1"/>
      </w:pPr>
      <w:r>
        <w:t>2. Accounting Method</w:t>
      </w:r>
    </w:p>
    <w:p>
      <w:pPr>
        <w:spacing w:after="160"/>
      </w:pPr>
      <w:r>
        <w:t>Otaku Haven LLC uses the accrual method of accounting and does not maintain its books on a cash-basis method. Accrual accounting is required because the business carries inventory, tracks liabilities such as sales tax and payroll obligations, and needs period-based profitability reporting that matches revenue with the cost of inventory and operating expenses incurred to generate that revenue.</w:t>
      </w:r>
    </w:p>
    <w:p>
      <w:pPr>
        <w:pStyle w:val="Heading1"/>
      </w:pPr>
      <w:r>
        <w:t>3. Fiscal Year</w:t>
      </w:r>
    </w:p>
    <w:p>
      <w:pPr>
        <w:spacing w:after="160"/>
      </w:pPr>
      <w:r>
        <w:t>The fiscal year for Otaku Haven LLC begins on January 1 and ends on December 31. Monthly and annual reporting in Xero, tax workpapers, and management review schedules must align to that fiscal year.</w:t>
      </w:r>
    </w:p>
    <w:p>
      <w:pPr>
        <w:pStyle w:val="Heading1"/>
      </w:pPr>
      <w:r>
        <w:t>4. Revenue Recognition</w:t>
      </w:r>
    </w:p>
    <w:p>
      <w:pPr>
        <w:spacing w:after="160"/>
      </w:pPr>
      <w:r>
        <w:t>Retail revenue is recognized when a customer transaction is completed in Square for Retail or Square Online and control of the merchandise passes to the customer. Square settlement batches and bank deposits support the related cash posting and reconciliation in Xero, but do not defer recognition of earned retail revenue.</w:t>
      </w:r>
    </w:p>
    <w:p>
      <w:pPr>
        <w:pStyle w:val="ListBullet"/>
        <w:spacing w:after="80"/>
      </w:pPr>
      <w:r>
        <w:t>Sales tax collected from customers is excluded from revenue and recorded to Sales Tax Payable (Texas).</w:t>
      </w:r>
    </w:p>
    <w:p>
      <w:pPr>
        <w:pStyle w:val="ListBullet"/>
        <w:spacing w:after="80"/>
      </w:pPr>
      <w:r>
        <w:t>Gift cards and store credit are recorded to Deferred Revenue when issued and recognized as revenue only when redeemed or otherwise earned.</w:t>
      </w:r>
    </w:p>
    <w:p>
      <w:pPr>
        <w:pStyle w:val="ListBullet"/>
        <w:spacing w:after="80"/>
      </w:pPr>
      <w:r>
        <w:t>Consignment goods are not recognized as inventory on receipt. When a consignment item is sold, the store records only its 40% share to Consignment Revenue and records the creator's 60% share to Consignment Payable.</w:t>
      </w:r>
    </w:p>
    <w:p>
      <w:pPr>
        <w:pStyle w:val="Heading1"/>
      </w:pPr>
      <w:r>
        <w:t>5. Expense Recognition</w:t>
      </w:r>
    </w:p>
    <w:p>
      <w:pPr>
        <w:spacing w:after="160"/>
      </w:pPr>
      <w:r>
        <w:t>Expenses are recognized in the period in which goods or services are received or consumed, consistent with the matching principle. Payroll expense is recognized in the period employees earn wages, employer payroll taxes and benefits are recognized with the related payroll, and prepaid items such as insurance or software subscriptions are capitalized to Prepaid Expenses and amortized over the covered term.</w:t>
      </w:r>
    </w:p>
    <w:p>
      <w:pPr>
        <w:spacing w:after="160"/>
      </w:pPr>
      <w:r>
        <w:t>Inventory purchases are recorded to Inventory Asset until the related items are sold, damaged, written down, or otherwise disposed of under the Inventory Valuation Policy. At that point, expense is recognized through the applicable COGS account.</w:t>
      </w:r>
    </w:p>
    <w:p>
      <w:pPr>
        <w:pStyle w:val="Heading1"/>
      </w:pPr>
      <w:r>
        <w:t>6. Inventory Accounting</w:t>
      </w:r>
    </w:p>
    <w:p>
      <w:pPr>
        <w:spacing w:after="160"/>
      </w:pPr>
      <w:r>
        <w:t>Owned inventory is accounted for under the FIFO (First In, First Out) method. Inventory costs are maintained in Square for Retail and reflected in Xero through inventory and COGS postings, with the Inventory Asset account representing only inventory owned by Otaku Haven LLC. The detailed costing, consignment, write-down, and physical-count rules are governed by the companion Inventory Valuation Policy.</w:t>
      </w:r>
    </w:p>
    <w:p>
      <w:pPr>
        <w:pStyle w:val="Heading1"/>
      </w:pPr>
      <w:r>
        <w:t>7. Bank Reconciliation</w:t>
      </w:r>
    </w:p>
    <w:p>
      <w:pPr>
        <w:spacing w:after="160"/>
      </w:pPr>
      <w:r>
        <w:t>Bank reconciliations must be completed in Xero at least monthly using the bank feed and supporting Square payout, Gusto payroll, and vendor-payment records. The Store Manager or a designated accountant may prepare the reconciliation, but unresolved reconciling items must be investigated promptly and escalated to the Managing Member when they cannot be cleared within the monthly close window.</w:t>
      </w:r>
    </w:p>
    <w:p>
      <w:pPr>
        <w:pStyle w:val="Heading1"/>
      </w:pPr>
      <w:r>
        <w:t>8. Month-End Close Process</w:t>
      </w:r>
    </w:p>
    <w:p>
      <w:pPr>
        <w:spacing w:after="160"/>
      </w:pPr>
      <w:r>
        <w:t>The month-end close must be completed within 5 business days after each month end. At minimum, the following steps are required:</w:t>
      </w:r>
    </w:p>
    <w:p>
      <w:pPr>
        <w:pStyle w:val="ListBullet"/>
        <w:spacing w:after="80"/>
      </w:pPr>
      <w:r>
        <w:t>Confirm all Square for Retail and Square Online sales, refunds, gift card activity, and sales tax postings for the period are synced or posted to Xero.</w:t>
      </w:r>
    </w:p>
    <w:p>
      <w:pPr>
        <w:pStyle w:val="ListBullet"/>
        <w:spacing w:after="80"/>
      </w:pPr>
      <w:r>
        <w:t>Record payroll journals from Gusto and accrue any unpaid wages, employer taxes, or benefits earned through month end.</w:t>
      </w:r>
    </w:p>
    <w:p>
      <w:pPr>
        <w:pStyle w:val="ListBullet"/>
        <w:spacing w:after="80"/>
      </w:pPr>
      <w:r>
        <w:t>Review vendor bills, prepaid expenses, fixed-asset additions, and approved inventory adjustments or write-offs.</w:t>
      </w:r>
    </w:p>
    <w:p>
      <w:pPr>
        <w:pStyle w:val="ListBullet"/>
        <w:spacing w:after="80"/>
      </w:pPr>
      <w:r>
        <w:t>Reconcile the checking account and review liability accounts including Sales Tax Payable, Payroll Liabilities, Deferred Revenue, and Consignment Payable.</w:t>
      </w:r>
    </w:p>
    <w:p>
      <w:pPr>
        <w:pStyle w:val="ListBullet"/>
        <w:spacing w:after="80"/>
      </w:pPr>
      <w:r>
        <w:t>Prepare and review the monthly profit and loss statement, balance sheet, and cash position for Managing Member oversight.</w:t>
      </w:r>
    </w:p>
    <w:p>
      <w:pPr>
        <w:pStyle w:val="Heading1"/>
      </w:pPr>
      <w:r>
        <w:t>9. Year-End Close Process</w:t>
      </w:r>
    </w:p>
    <w:p>
      <w:pPr>
        <w:spacing w:after="160"/>
      </w:pPr>
      <w:r>
        <w:t>The year-end close expands the monthly close process and includes a full physical inventory count, reconciliation of all balance-sheet accounts, depreciation and prepaid-expense entries, review of accrued liabilities, and confirmation that member contributions and distributions are accurately classified. A preliminary internal close should be completed as soon as practicable after December 31, with the external accountant performing year-end review adjustments and preparing tax schedules in advance of the applicable filing deadlines.</w:t>
      </w:r>
    </w:p>
    <w:p>
      <w:pPr>
        <w:pStyle w:val="Heading1"/>
      </w:pPr>
      <w:r>
        <w:t>10. Roles and Responsibilities</w:t>
      </w:r>
    </w:p>
    <w:p>
      <w:pPr>
        <w:pStyle w:val="ListBullet"/>
        <w:spacing w:after="80"/>
      </w:pPr>
      <w:r>
        <w:t>Managing Member: provides policy oversight, reviews monthly financial statements and bank reconciliations, approves non-routine accounting judgments, and coordinates with the external accountant on tax and compliance matters.</w:t>
      </w:r>
    </w:p>
    <w:p>
      <w:pPr>
        <w:pStyle w:val="ListBullet"/>
        <w:spacing w:after="80"/>
      </w:pPr>
      <w:r>
        <w:t>Store Manager: maintains day-to-day source documents, reviews Square activity, prepares or supports monthly reconciliations, and ensures inventory, petty cash, and operating records are complete and timely.</w:t>
      </w:r>
    </w:p>
    <w:p>
      <w:pPr>
        <w:pStyle w:val="ListBullet"/>
        <w:spacing w:after="80"/>
      </w:pPr>
      <w:r>
        <w:t>External accountant/bookkeeper: maintains Xero bookkeeping quality, assists with monthly close and reconciliations as needed, prepares year-end adjustments, and supports federal and Texas tax filings.</w:t>
      </w:r>
    </w:p>
    <w:p>
      <w:pPr>
        <w:pStyle w:val="Heading1"/>
      </w:pPr>
      <w:r>
        <w:t>11. Chart of Accounts</w:t>
      </w:r>
    </w:p>
    <w:p>
      <w:pPr>
        <w:spacing w:after="160"/>
      </w:pPr>
      <w:r>
        <w:t>The official chart of accounts for Otaku Haven LLC is maintained in the companion workbook titled Chart-of-Accounts.xlsx. New accounts, renumbering, or structural changes to the chart of accounts require approval from the Managing Member and coordination with the external accountant to preserve reporting consistency with the financial model and inventory policy.</w:t>
      </w:r>
    </w:p>
    <w:sectPr w:rsidR="00FC693F" w:rsidRPr="0006063C" w:rsidSect="00034616">
      <w:footerReference w:type="default" r:id="rId9"/>
      <w:pgSz w:w="12240" w:h="15840"/>
      <w:pgMar w:top="1224"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Page </w:t>
      <w:fldChar w:fldCharType="begin"/>
      <w:instrText xml:space="preserve">PAGE</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eastAsia="Calibr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eastAsia="Calibr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eastAsia="Calibr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