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4968"/>
        <w:gridCol w:w="4968"/>
      </w:tblGrid>
      <w:tr>
        <w:tc>
          <w:tcPr>
            <w:tcW w:type="dxa" w:w="4968"/>
          </w:tcPr>
          <w:p>
            <w:r/>
            <w:r>
              <w:rPr>
                <w:b/>
                <w:sz w:val="20"/>
              </w:rPr>
              <w:t>SOP Title</w:t>
            </w:r>
          </w:p>
        </w:tc>
        <w:tc>
          <w:tcPr>
            <w:tcW w:type="dxa" w:w="4968"/>
          </w:tcPr>
          <w:p>
            <w:r/>
            <w:r>
              <w:rPr>
                <w:b w:val="0"/>
                <w:sz w:val="20"/>
              </w:rPr>
              <w:t>Loss Prevention and Incident Reporting SOP</w:t>
            </w:r>
          </w:p>
        </w:tc>
      </w:tr>
      <w:tr>
        <w:tc>
          <w:tcPr>
            <w:tcW w:type="dxa" w:w="4968"/>
          </w:tcPr>
          <w:p>
            <w:r/>
            <w:r>
              <w:rPr>
                <w:b/>
                <w:sz w:val="20"/>
              </w:rPr>
              <w:t>Document Number</w:t>
            </w:r>
          </w:p>
        </w:tc>
        <w:tc>
          <w:tcPr>
            <w:tcW w:type="dxa" w:w="4968"/>
          </w:tcPr>
          <w:p>
            <w:r/>
            <w:r>
              <w:rPr>
                <w:b w:val="0"/>
                <w:sz w:val="20"/>
              </w:rPr>
              <w:t>SOP-009</w:t>
            </w:r>
          </w:p>
        </w:tc>
      </w:tr>
      <w:tr>
        <w:tc>
          <w:tcPr>
            <w:tcW w:type="dxa" w:w="4968"/>
          </w:tcPr>
          <w:p>
            <w:r/>
            <w:r>
              <w:rPr>
                <w:b/>
                <w:sz w:val="20"/>
              </w:rPr>
              <w:t>Effective Date</w:t>
            </w:r>
          </w:p>
        </w:tc>
        <w:tc>
          <w:tcPr>
            <w:tcW w:type="dxa" w:w="4968"/>
          </w:tcPr>
          <w:p>
            <w:r/>
            <w:r>
              <w:rPr>
                <w:b w:val="0"/>
                <w:sz w:val="20"/>
              </w:rPr>
              <w:t>June 1, 2026</w:t>
            </w:r>
          </w:p>
        </w:tc>
      </w:tr>
      <w:tr>
        <w:tc>
          <w:tcPr>
            <w:tcW w:type="dxa" w:w="4968"/>
          </w:tcPr>
          <w:p>
            <w:r/>
            <w:r>
              <w:rPr>
                <w:b/>
                <w:sz w:val="20"/>
              </w:rPr>
              <w:t>Last Revised</w:t>
            </w:r>
          </w:p>
        </w:tc>
        <w:tc>
          <w:tcPr>
            <w:tcW w:type="dxa" w:w="4968"/>
          </w:tcPr>
          <w:p>
            <w:r/>
            <w:r>
              <w:rPr>
                <w:b w:val="0"/>
                <w:sz w:val="20"/>
              </w:rPr>
              <w:t>June 1, 2026</w:t>
            </w:r>
          </w:p>
        </w:tc>
      </w:tr>
      <w:tr>
        <w:tc>
          <w:tcPr>
            <w:tcW w:type="dxa" w:w="4968"/>
          </w:tcPr>
          <w:p>
            <w:r/>
            <w:r>
              <w:rPr>
                <w:b/>
                <w:sz w:val="20"/>
              </w:rPr>
              <w:t>Approved By</w:t>
            </w:r>
          </w:p>
        </w:tc>
        <w:tc>
          <w:tcPr>
            <w:tcW w:type="dxa" w:w="4968"/>
          </w:tcPr>
          <w:p>
            <w:r/>
            <w:r>
              <w:rPr>
                <w:b w:val="0"/>
                <w:sz w:val="20"/>
              </w:rPr>
              <w:t>Store Manager</w:t>
            </w:r>
          </w:p>
        </w:tc>
      </w:tr>
    </w:tbl>
    <w:p>
      <w:pPr>
        <w:jc w:val="left"/>
      </w:pPr>
      <w:r>
        <w:rPr>
          <w:b/>
          <w:sz w:val="22"/>
        </w:rPr>
        <w:t>2. Purpose</w:t>
      </w:r>
    </w:p>
    <w:p>
      <w:r>
        <w:t>This procedure defines Otaku Haven's loss-prevention and incident-reporting process so staff protect inventory, cash, customers, and co-workers without using unsafe confrontation practices.</w:t>
      </w:r>
    </w:p>
    <w:p>
      <w:pPr>
        <w:jc w:val="left"/>
      </w:pPr>
      <w:r>
        <w:rPr>
          <w:b/>
          <w:sz w:val="22"/>
        </w:rPr>
        <w:t>3. Scope</w:t>
      </w:r>
    </w:p>
    <w:p>
      <w:r>
        <w:t>This SOP applies to all employees during open hours, receiving activity, closeout procedures, and any event involving suspected theft, vandalism, confrontation, injury, or other reportable incident. Otaku Haven relies on staff awareness, procedural controls, and camera review rather than dedicated LP staff or EAS tagging.</w:t>
      </w:r>
    </w:p>
    <w:p>
      <w:pPr>
        <w:jc w:val="left"/>
      </w:pPr>
      <w:r>
        <w:rPr>
          <w:b/>
          <w:sz w:val="22"/>
        </w:rPr>
        <w:t>4. Responsibilities</w:t>
      </w:r>
    </w:p>
    <w:tbl>
      <w:tblPr>
        <w:tblStyle w:val="TableGrid"/>
        <w:tblW w:type="auto" w:w="0"/>
        <w:jc w:val="center"/>
        <w:tblLook w:firstColumn="1" w:firstRow="1" w:lastColumn="0" w:lastRow="0" w:noHBand="0" w:noVBand="1" w:val="04A0"/>
      </w:tblPr>
      <w:tblGrid>
        <w:gridCol w:w="4968"/>
        <w:gridCol w:w="4968"/>
      </w:tblGrid>
      <w:tr>
        <w:trPr>
          <w:tblHeader w:val="true"/>
        </w:trPr>
        <w:tc>
          <w:tcPr>
            <w:tcW w:type="dxa" w:w="4968"/>
          </w:tcPr>
          <w:p>
            <w:r/>
            <w:r>
              <w:rPr>
                <w:b/>
                <w:sz w:val="20"/>
              </w:rPr>
              <w:t>Role</w:t>
            </w:r>
          </w:p>
        </w:tc>
        <w:tc>
          <w:tcPr>
            <w:tcW w:type="dxa" w:w="4968"/>
          </w:tcPr>
          <w:p>
            <w:r/>
            <w:r>
              <w:rPr>
                <w:b/>
                <w:sz w:val="20"/>
              </w:rPr>
              <w:t>Responsibility</w:t>
            </w:r>
          </w:p>
        </w:tc>
      </w:tr>
      <w:tr>
        <w:tc>
          <w:tcPr>
            <w:tcW w:type="dxa" w:w="4968"/>
          </w:tcPr>
          <w:p>
            <w:r/>
            <w:r>
              <w:rPr>
                <w:b/>
                <w:sz w:val="20"/>
              </w:rPr>
              <w:t>Store Manager</w:t>
            </w:r>
          </w:p>
        </w:tc>
        <w:tc>
          <w:tcPr>
            <w:tcW w:type="dxa" w:w="4968"/>
          </w:tcPr>
          <w:p>
            <w:r/>
            <w:r>
              <w:rPr>
                <w:b w:val="0"/>
                <w:sz w:val="20"/>
              </w:rPr>
              <w:t>Owns incident review, law-enforcement contact, insurance notification, and internal-theft escalation, and coordinates evidence retention.</w:t>
            </w:r>
          </w:p>
        </w:tc>
      </w:tr>
      <w:tr>
        <w:tc>
          <w:tcPr>
            <w:tcW w:type="dxa" w:w="4968"/>
          </w:tcPr>
          <w:p>
            <w:r/>
            <w:r>
              <w:rPr>
                <w:b/>
                <w:sz w:val="20"/>
              </w:rPr>
              <w:t>Assistant Manager</w:t>
            </w:r>
          </w:p>
        </w:tc>
        <w:tc>
          <w:tcPr>
            <w:tcW w:type="dxa" w:w="4968"/>
          </w:tcPr>
          <w:p>
            <w:r/>
            <w:r>
              <w:rPr>
                <w:b w:val="0"/>
                <w:sz w:val="20"/>
              </w:rPr>
              <w:t>Supports response decisions, reviews camera footage when directed, and ensures incident documentation is completed accurately.</w:t>
            </w:r>
          </w:p>
        </w:tc>
      </w:tr>
      <w:tr>
        <w:tc>
          <w:tcPr>
            <w:tcW w:type="dxa" w:w="4968"/>
          </w:tcPr>
          <w:p>
            <w:r/>
            <w:r>
              <w:rPr>
                <w:b/>
                <w:sz w:val="20"/>
              </w:rPr>
              <w:t>Key Holder</w:t>
            </w:r>
          </w:p>
        </w:tc>
        <w:tc>
          <w:tcPr>
            <w:tcW w:type="dxa" w:w="4968"/>
          </w:tcPr>
          <w:p>
            <w:r/>
            <w:r>
              <w:rPr>
                <w:b w:val="0"/>
                <w:sz w:val="20"/>
              </w:rPr>
              <w:t>Acts as on-duty incident lead when assigned, completes or supervises the Incident Report Form, and escalates promptly to the Store Manager.</w:t>
            </w:r>
          </w:p>
        </w:tc>
      </w:tr>
      <w:tr>
        <w:tc>
          <w:tcPr>
            <w:tcW w:type="dxa" w:w="4968"/>
          </w:tcPr>
          <w:p>
            <w:r/>
            <w:r>
              <w:rPr>
                <w:b/>
                <w:sz w:val="20"/>
              </w:rPr>
              <w:t>Sales Associate</w:t>
            </w:r>
          </w:p>
        </w:tc>
        <w:tc>
          <w:tcPr>
            <w:tcW w:type="dxa" w:w="4968"/>
          </w:tcPr>
          <w:p>
            <w:r/>
            <w:r>
              <w:rPr>
                <w:b w:val="0"/>
                <w:sz w:val="20"/>
              </w:rPr>
              <w:t>Maintains floor awareness, greets customers, reports concerns immediately, and follows the non-confrontation rule in every external theft situation.</w:t>
            </w:r>
          </w:p>
        </w:tc>
      </w:tr>
    </w:tbl>
    <w:p>
      <w:pPr>
        <w:jc w:val="left"/>
      </w:pPr>
      <w:r>
        <w:rPr>
          <w:b/>
          <w:sz w:val="22"/>
        </w:rPr>
        <w:t>5. Procedure</w:t>
      </w:r>
    </w:p>
    <w:p>
      <w:r>
        <w:rPr>
          <w:b/>
          <w:sz w:val="20"/>
        </w:rPr>
        <w:t>Part A — Prevention</w:t>
      </w:r>
    </w:p>
    <w:p>
      <w:pPr>
        <w:spacing w:after="80"/>
      </w:pPr>
      <w:r>
        <w:rPr>
          <w:sz w:val="20"/>
        </w:rPr>
        <w:t>1. Maintain active floor coverage and sight lines so employees are visible, available, and able to observe customer movement across key merchandise zones.</w:t>
      </w:r>
    </w:p>
    <w:p>
      <w:pPr>
        <w:spacing w:after="40"/>
        <w:ind w:left="432"/>
      </w:pPr>
      <w:r>
        <w:rPr>
          <w:sz w:val="20"/>
        </w:rPr>
        <w:t>a. Avoid clustering all staff at the register when the floor is occupied.</w:t>
      </w:r>
    </w:p>
    <w:p>
      <w:pPr>
        <w:spacing w:after="80"/>
      </w:pPr>
      <w:r>
        <w:rPr>
          <w:sz w:val="20"/>
        </w:rPr>
        <w:t>2. Use greeting as a deterrent by acknowledging every customer who enters, offering assistance, and maintaining a visible service presence throughout the visit.</w:t>
      </w:r>
    </w:p>
    <w:p>
      <w:pPr>
        <w:spacing w:after="80"/>
      </w:pPr>
      <w:r>
        <w:rPr>
          <w:sz w:val="20"/>
        </w:rPr>
        <w:t>3. Protect high-value figures by keeping any figure priced at $100 or more in a locked display case or other secure manager-approved presentation zone, in alignment with SOP-008: Visual Merchandising and Seasonal Reset SOP.</w:t>
      </w:r>
    </w:p>
    <w:p>
      <w:pPr>
        <w:spacing w:after="80"/>
      </w:pPr>
      <w:r>
        <w:rPr>
          <w:sz w:val="20"/>
        </w:rPr>
        <w:t>4. Use the store camera system as a review and deterrence tool, with footage review limited to the Store Manager, the Owner, or an Assistant Manager specifically directed by the Store Manager.</w:t>
      </w:r>
    </w:p>
    <w:p>
      <w:pPr>
        <w:spacing w:after="40"/>
        <w:ind w:left="432"/>
      </w:pPr>
      <w:r>
        <w:rPr>
          <w:sz w:val="20"/>
        </w:rPr>
        <w:t>a. Employees should know camera coverage exists but may not access or share footage casually.</w:t>
      </w:r>
    </w:p>
    <w:p>
      <w:pPr>
        <w:spacing w:after="80"/>
      </w:pPr>
      <w:r>
        <w:rPr>
          <w:sz w:val="20"/>
        </w:rPr>
        <w:t>5. Reduce internal-theft risk through access controls, respectful and consistently applied bag-check practice when required by management, and two-person verification for final cash reconciliation whenever practicable.</w:t>
      </w:r>
    </w:p>
    <w:p>
      <w:pPr>
        <w:spacing w:after="40"/>
        <w:ind w:left="432"/>
      </w:pPr>
      <w:r>
        <w:rPr>
          <w:sz w:val="20"/>
        </w:rPr>
        <w:t>a. Keys, alarm codes, and manager credentials may not be shared outside the authorized role group.</w:t>
      </w:r>
    </w:p>
    <w:p>
      <w:r>
        <w:rPr>
          <w:b/>
          <w:sz w:val="20"/>
        </w:rPr>
        <w:t>Part B — Response</w:t>
      </w:r>
    </w:p>
    <w:p>
      <w:pPr>
        <w:spacing w:after="80"/>
      </w:pPr>
      <w:r>
        <w:rPr>
          <w:sz w:val="20"/>
        </w:rPr>
        <w:t>6. If shoplifting is suspected, observe discreetly, note physical description and behavior, and notify the on-duty Key Holder or manager rather than physically confronting the individual.</w:t>
      </w:r>
    </w:p>
    <w:p>
      <w:pPr>
        <w:spacing w:after="40"/>
        <w:ind w:left="432"/>
      </w:pPr>
      <w:r>
        <w:rPr>
          <w:sz w:val="20"/>
        </w:rPr>
        <w:t>a. Staff are prohibited from chasing, restraining, grabbing, blocking, or otherwise physically confronting a suspected thief.</w:t>
      </w:r>
    </w:p>
    <w:p>
      <w:pPr>
        <w:spacing w:after="40"/>
        <w:ind w:left="432"/>
      </w:pPr>
      <w:r>
        <w:rPr>
          <w:sz w:val="20"/>
        </w:rPr>
        <w:t>b. If there is immediate danger, move to safety and call 911 first.</w:t>
      </w:r>
    </w:p>
    <w:p>
      <w:pPr>
        <w:spacing w:after="80"/>
      </w:pPr>
      <w:r>
        <w:rPr>
          <w:sz w:val="20"/>
        </w:rPr>
        <w:t>7. Document suspected shoplifting using the Incident Report Form as soon as the situation is stable, including the items involved, time, location, and any available camera reference.</w:t>
      </w:r>
    </w:p>
    <w:p>
      <w:pPr>
        <w:spacing w:after="80"/>
      </w:pPr>
      <w:r>
        <w:rPr>
          <w:sz w:val="20"/>
        </w:rPr>
        <w:t>8. If a suspected thief or any other person becomes confrontational, use calm verbal de-escalation, create distance, and prioritize personal safety over product recovery.</w:t>
      </w:r>
    </w:p>
    <w:p>
      <w:pPr>
        <w:spacing w:after="40"/>
        <w:ind w:left="432"/>
      </w:pPr>
      <w:r>
        <w:rPr>
          <w:sz w:val="20"/>
        </w:rPr>
        <w:t>a. Follow the Workplace Violence and Safety Policy and call law enforcement when behavior becomes threatening or violent.</w:t>
      </w:r>
    </w:p>
    <w:p>
      <w:pPr>
        <w:spacing w:after="80"/>
      </w:pPr>
      <w:r>
        <w:rPr>
          <w:sz w:val="20"/>
        </w:rPr>
        <w:t>9. Escalate suspected internal theft immediately to the Store Manager and Owner, preserve records and footage, and maintain chain of custody for documents or evidence.</w:t>
      </w:r>
    </w:p>
    <w:p>
      <w:pPr>
        <w:spacing w:after="40"/>
        <w:ind w:left="432"/>
      </w:pPr>
      <w:r>
        <w:rPr>
          <w:sz w:val="20"/>
        </w:rPr>
        <w:t>a. Do not accuse an employee publicly or conduct an informal search without management direction.</w:t>
      </w:r>
    </w:p>
    <w:p>
      <w:r>
        <w:rPr>
          <w:b/>
          <w:sz w:val="20"/>
        </w:rPr>
        <w:t>Part C — Incident Reporting</w:t>
      </w:r>
    </w:p>
    <w:p>
      <w:pPr>
        <w:spacing w:after="80"/>
      </w:pPr>
      <w:r>
        <w:rPr>
          <w:sz w:val="20"/>
        </w:rPr>
        <w:t>10. Treat theft, assault, accident, vandalism, credible threats, property damage, and customer or employee injury as reportable incidents requiring documentation.</w:t>
      </w:r>
    </w:p>
    <w:p>
      <w:pPr>
        <w:spacing w:after="80"/>
      </w:pPr>
      <w:r>
        <w:rPr>
          <w:sz w:val="20"/>
        </w:rPr>
        <w:t>11. Complete the Incident Report Form before the end of the shift whenever possible and attach supporting notes, photos, or reference numbers that help management review the event.</w:t>
      </w:r>
    </w:p>
    <w:p>
      <w:pPr>
        <w:spacing w:after="80"/>
      </w:pPr>
      <w:r>
        <w:rPr>
          <w:sz w:val="20"/>
        </w:rPr>
        <w:t>12. Follow the escalation path of Store Manager to Owner to law enforcement, with immediate 911 contact when there is current danger, injury, or an active criminal event.</w:t>
      </w:r>
    </w:p>
    <w:p>
      <w:pPr>
        <w:spacing w:after="80"/>
      </w:pPr>
      <w:r>
        <w:rPr>
          <w:sz w:val="20"/>
        </w:rPr>
        <w:t>13. Notify insurance through management when an incident involves property loss, bodily injury, significant vandalism, or another event likely to create a claim.</w:t>
      </w:r>
    </w:p>
    <w:p>
      <w:pPr>
        <w:jc w:val="left"/>
      </w:pPr>
      <w:r>
        <w:rPr>
          <w:b/>
          <w:sz w:val="22"/>
        </w:rPr>
        <w:t>6. Related Documents</w:t>
      </w:r>
    </w:p>
    <w:p>
      <w:pPr>
        <w:pStyle w:val="ListBullet"/>
      </w:pPr>
      <w:r>
        <w:t>SOP-010: Safety and Emergency Procedures SOP</w:t>
      </w:r>
    </w:p>
    <w:p>
      <w:pPr>
        <w:pStyle w:val="ListBullet"/>
      </w:pPr>
      <w:r>
        <w:t>SOP-007: Inventory Receiving, Stocking, and Cycle Counts SOP</w:t>
      </w:r>
    </w:p>
    <w:p>
      <w:pPr>
        <w:pStyle w:val="ListBullet"/>
      </w:pPr>
      <w:r>
        <w:t>Employee Handbook — Section 6 - Workplace Violence and Safety Policy</w:t>
      </w:r>
    </w:p>
    <w:p>
      <w:pPr>
        <w:pStyle w:val="ListBullet"/>
      </w:pPr>
      <w:r>
        <w:t>Employee Handbook — Section 8 - Discipline and Termination Procedure</w:t>
      </w:r>
    </w:p>
    <w:p>
      <w:pPr>
        <w:pStyle w:val="ListBullet"/>
      </w:pPr>
      <w:r>
        <w:t>Incident Report Form</w:t>
      </w:r>
    </w:p>
    <w:p>
      <w:pPr>
        <w:jc w:val="left"/>
      </w:pPr>
      <w:r>
        <w:rPr>
          <w:b/>
          <w:sz w:val="22"/>
        </w:rPr>
        <w:t>7. Revision History</w:t>
      </w:r>
    </w:p>
    <w:tbl>
      <w:tblPr>
        <w:tblStyle w:val="TableGrid"/>
        <w:tblW w:type="auto" w:w="0"/>
        <w:jc w:val="center"/>
        <w:tblLook w:firstColumn="1" w:firstRow="1" w:lastColumn="0" w:lastRow="0" w:noHBand="0" w:noVBand="1" w:val="04A0"/>
      </w:tblPr>
      <w:tblGrid>
        <w:gridCol w:w="3312"/>
        <w:gridCol w:w="3312"/>
        <w:gridCol w:w="3312"/>
      </w:tblGrid>
      <w:tr>
        <w:trPr>
          <w:tblHeader w:val="true"/>
        </w:trPr>
        <w:tc>
          <w:tcPr>
            <w:tcW w:type="dxa" w:w="3312"/>
          </w:tcPr>
          <w:p>
            <w:r/>
            <w:r>
              <w:rPr>
                <w:b/>
                <w:sz w:val="20"/>
              </w:rPr>
              <w:t>Date</w:t>
            </w:r>
          </w:p>
        </w:tc>
        <w:tc>
          <w:tcPr>
            <w:tcW w:type="dxa" w:w="3312"/>
          </w:tcPr>
          <w:p>
            <w:r/>
            <w:r>
              <w:rPr>
                <w:b/>
                <w:sz w:val="20"/>
              </w:rPr>
              <w:t>Description</w:t>
            </w:r>
          </w:p>
        </w:tc>
        <w:tc>
          <w:tcPr>
            <w:tcW w:type="dxa" w:w="3312"/>
          </w:tcPr>
          <w:p>
            <w:r/>
            <w:r>
              <w:rPr>
                <w:b/>
                <w:sz w:val="20"/>
              </w:rPr>
              <w:t>Approved By</w:t>
            </w:r>
          </w:p>
        </w:tc>
      </w:tr>
      <w:tr>
        <w:tc>
          <w:tcPr>
            <w:tcW w:type="dxa" w:w="3312"/>
          </w:tcPr>
          <w:p>
            <w:r/>
            <w:r>
              <w:rPr>
                <w:b w:val="0"/>
                <w:sz w:val="20"/>
              </w:rPr>
            </w:r>
          </w:p>
        </w:tc>
        <w:tc>
          <w:tcPr>
            <w:tcW w:type="dxa" w:w="3312"/>
          </w:tcPr>
          <w:p>
            <w:r/>
            <w:r>
              <w:rPr>
                <w:b w:val="0"/>
                <w:sz w:val="20"/>
              </w:rPr>
            </w:r>
          </w:p>
        </w:tc>
        <w:tc>
          <w:tcPr>
            <w:tcW w:type="dxa" w:w="3312"/>
          </w:tcPr>
          <w:p>
            <w:r/>
            <w:r>
              <w:rPr>
                <w:b w:val="0"/>
                <w:sz w:val="20"/>
              </w:rPr>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