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jc w:val="center"/>
        <w:tblLook w:firstColumn="1" w:firstRow="1" w:lastColumn="0" w:lastRow="0" w:noHBand="0" w:noVBand="1" w:val="04A0"/>
      </w:tblPr>
      <w:tblGrid>
        <w:gridCol w:w="4968"/>
        <w:gridCol w:w="4968"/>
      </w:tblGrid>
      <w:tr>
        <w:tc>
          <w:tcPr>
            <w:tcW w:type="dxa" w:w="4968"/>
          </w:tcPr>
          <w:p>
            <w:r/>
            <w:r>
              <w:rPr>
                <w:b/>
                <w:sz w:val="20"/>
              </w:rPr>
              <w:t>SOP Title</w:t>
            </w:r>
          </w:p>
        </w:tc>
        <w:tc>
          <w:tcPr>
            <w:tcW w:type="dxa" w:w="4968"/>
          </w:tcPr>
          <w:p>
            <w:r/>
            <w:r>
              <w:rPr>
                <w:b w:val="0"/>
                <w:sz w:val="20"/>
              </w:rPr>
              <w:t>Visual Merchandising and Seasonal Reset SOP</w:t>
            </w:r>
          </w:p>
        </w:tc>
      </w:tr>
      <w:tr>
        <w:tc>
          <w:tcPr>
            <w:tcW w:type="dxa" w:w="4968"/>
          </w:tcPr>
          <w:p>
            <w:r/>
            <w:r>
              <w:rPr>
                <w:b/>
                <w:sz w:val="20"/>
              </w:rPr>
              <w:t>Document Number</w:t>
            </w:r>
          </w:p>
        </w:tc>
        <w:tc>
          <w:tcPr>
            <w:tcW w:type="dxa" w:w="4968"/>
          </w:tcPr>
          <w:p>
            <w:r/>
            <w:r>
              <w:rPr>
                <w:b w:val="0"/>
                <w:sz w:val="20"/>
              </w:rPr>
              <w:t>SOP-008</w:t>
            </w:r>
          </w:p>
        </w:tc>
      </w:tr>
      <w:tr>
        <w:tc>
          <w:tcPr>
            <w:tcW w:type="dxa" w:w="4968"/>
          </w:tcPr>
          <w:p>
            <w:r/>
            <w:r>
              <w:rPr>
                <w:b/>
                <w:sz w:val="20"/>
              </w:rPr>
              <w:t>Effective Date</w:t>
            </w:r>
          </w:p>
        </w:tc>
        <w:tc>
          <w:tcPr>
            <w:tcW w:type="dxa" w:w="4968"/>
          </w:tcPr>
          <w:p>
            <w:r/>
            <w:r>
              <w:rPr>
                <w:b w:val="0"/>
                <w:sz w:val="20"/>
              </w:rPr>
              <w:t>June 1, 2026</w:t>
            </w:r>
          </w:p>
        </w:tc>
      </w:tr>
      <w:tr>
        <w:tc>
          <w:tcPr>
            <w:tcW w:type="dxa" w:w="4968"/>
          </w:tcPr>
          <w:p>
            <w:r/>
            <w:r>
              <w:rPr>
                <w:b/>
                <w:sz w:val="20"/>
              </w:rPr>
              <w:t>Last Revised</w:t>
            </w:r>
          </w:p>
        </w:tc>
        <w:tc>
          <w:tcPr>
            <w:tcW w:type="dxa" w:w="4968"/>
          </w:tcPr>
          <w:p>
            <w:r/>
            <w:r>
              <w:rPr>
                <w:b w:val="0"/>
                <w:sz w:val="20"/>
              </w:rPr>
              <w:t>June 1, 2026</w:t>
            </w:r>
          </w:p>
        </w:tc>
      </w:tr>
      <w:tr>
        <w:tc>
          <w:tcPr>
            <w:tcW w:type="dxa" w:w="4968"/>
          </w:tcPr>
          <w:p>
            <w:r/>
            <w:r>
              <w:rPr>
                <w:b/>
                <w:sz w:val="20"/>
              </w:rPr>
              <w:t>Approved By</w:t>
            </w:r>
          </w:p>
        </w:tc>
        <w:tc>
          <w:tcPr>
            <w:tcW w:type="dxa" w:w="4968"/>
          </w:tcPr>
          <w:p>
            <w:r/>
            <w:r>
              <w:rPr>
                <w:b w:val="0"/>
                <w:sz w:val="20"/>
              </w:rPr>
              <w:t>Store Manager</w:t>
            </w:r>
          </w:p>
        </w:tc>
      </w:tr>
    </w:tbl>
    <w:p>
      <w:pPr>
        <w:jc w:val="left"/>
      </w:pPr>
      <w:r>
        <w:rPr>
          <w:b/>
          <w:sz w:val="22"/>
        </w:rPr>
        <w:t>2. Purpose</w:t>
      </w:r>
    </w:p>
    <w:p>
      <w:r>
        <w:t>This procedure establishes visual-merchandising standards and reset practices so Otaku Haven presents a clean, curated, and timely shopping environment that supports discovery and sales.</w:t>
      </w:r>
    </w:p>
    <w:p>
      <w:pPr>
        <w:jc w:val="left"/>
      </w:pPr>
      <w:r>
        <w:rPr>
          <w:b/>
          <w:sz w:val="22"/>
        </w:rPr>
        <w:t>3. Scope</w:t>
      </w:r>
    </w:p>
    <w:p>
      <w:r>
        <w:t>This SOP applies to all sales-floor displays, fixtures, end caps, signage, and seasonal or thematic changes within the 1,800 square foot store. It is used for daily display maintenance and for any planned reset tied to releases, events, or seasonal campaigns.</w:t>
      </w:r>
    </w:p>
    <w:p>
      <w:pPr>
        <w:jc w:val="left"/>
      </w:pPr>
      <w:r>
        <w:rPr>
          <w:b/>
          <w:sz w:val="22"/>
        </w:rPr>
        <w:t>4. Responsibilities</w:t>
      </w:r>
    </w:p>
    <w:tbl>
      <w:tblPr>
        <w:tblStyle w:val="TableGrid"/>
        <w:tblW w:type="auto" w:w="0"/>
        <w:jc w:val="center"/>
        <w:tblLook w:firstColumn="1" w:firstRow="1" w:lastColumn="0" w:lastRow="0" w:noHBand="0" w:noVBand="1" w:val="04A0"/>
      </w:tblPr>
      <w:tblGrid>
        <w:gridCol w:w="4968"/>
        <w:gridCol w:w="4968"/>
      </w:tblGrid>
      <w:tr>
        <w:trPr>
          <w:tblHeader w:val="true"/>
        </w:trPr>
        <w:tc>
          <w:tcPr>
            <w:tcW w:type="dxa" w:w="4968"/>
          </w:tcPr>
          <w:p>
            <w:r/>
            <w:r>
              <w:rPr>
                <w:b/>
                <w:sz w:val="20"/>
              </w:rPr>
              <w:t>Role</w:t>
            </w:r>
          </w:p>
        </w:tc>
        <w:tc>
          <w:tcPr>
            <w:tcW w:type="dxa" w:w="4968"/>
          </w:tcPr>
          <w:p>
            <w:r/>
            <w:r>
              <w:rPr>
                <w:b/>
                <w:sz w:val="20"/>
              </w:rPr>
              <w:t>Responsibility</w:t>
            </w:r>
          </w:p>
        </w:tc>
      </w:tr>
      <w:tr>
        <w:tc>
          <w:tcPr>
            <w:tcW w:type="dxa" w:w="4968"/>
          </w:tcPr>
          <w:p>
            <w:r/>
            <w:r>
              <w:rPr>
                <w:b/>
                <w:sz w:val="20"/>
              </w:rPr>
              <w:t>Store Manager</w:t>
            </w:r>
          </w:p>
        </w:tc>
        <w:tc>
          <w:tcPr>
            <w:tcW w:type="dxa" w:w="4968"/>
          </w:tcPr>
          <w:p>
            <w:r/>
            <w:r>
              <w:rPr>
                <w:b w:val="0"/>
                <w:sz w:val="20"/>
              </w:rPr>
              <w:t>Approves visual direction, reset priorities, and final presentation standards for major seasonal or franchise-driven changes.</w:t>
            </w:r>
          </w:p>
        </w:tc>
      </w:tr>
      <w:tr>
        <w:tc>
          <w:tcPr>
            <w:tcW w:type="dxa" w:w="4968"/>
          </w:tcPr>
          <w:p>
            <w:r/>
            <w:r>
              <w:rPr>
                <w:b/>
                <w:sz w:val="20"/>
              </w:rPr>
              <w:t>Assistant Manager</w:t>
            </w:r>
          </w:p>
        </w:tc>
        <w:tc>
          <w:tcPr>
            <w:tcW w:type="dxa" w:w="4968"/>
          </w:tcPr>
          <w:p>
            <w:r/>
            <w:r>
              <w:rPr>
                <w:b w:val="0"/>
                <w:sz w:val="20"/>
              </w:rPr>
              <w:t>Plans resets with lead time, assigns floor tasks, and verifies signage, presentation, and locked-case compliance.</w:t>
            </w:r>
          </w:p>
        </w:tc>
      </w:tr>
      <w:tr>
        <w:tc>
          <w:tcPr>
            <w:tcW w:type="dxa" w:w="4968"/>
          </w:tcPr>
          <w:p>
            <w:r/>
            <w:r>
              <w:rPr>
                <w:b/>
                <w:sz w:val="20"/>
              </w:rPr>
              <w:t>Key Holder</w:t>
            </w:r>
          </w:p>
        </w:tc>
        <w:tc>
          <w:tcPr>
            <w:tcW w:type="dxa" w:w="4968"/>
          </w:tcPr>
          <w:p>
            <w:r/>
            <w:r>
              <w:rPr>
                <w:b w:val="0"/>
                <w:sz w:val="20"/>
              </w:rPr>
              <w:t>Supports execution, keeps displays to standard during daily operations, and reports missing, damaged, or out-of-plan presentation issues.</w:t>
            </w:r>
          </w:p>
        </w:tc>
      </w:tr>
      <w:tr>
        <w:tc>
          <w:tcPr>
            <w:tcW w:type="dxa" w:w="4968"/>
          </w:tcPr>
          <w:p>
            <w:r/>
            <w:r>
              <w:rPr>
                <w:b/>
                <w:sz w:val="20"/>
              </w:rPr>
              <w:t>Sales Associate</w:t>
            </w:r>
          </w:p>
        </w:tc>
        <w:tc>
          <w:tcPr>
            <w:tcW w:type="dxa" w:w="4968"/>
          </w:tcPr>
          <w:p>
            <w:r/>
            <w:r>
              <w:rPr>
                <w:b w:val="0"/>
                <w:sz w:val="20"/>
              </w:rPr>
              <w:t>Maintains facing, cleanliness, and assigned merchandising tasks throughout the shift and during reset execution.</w:t>
            </w:r>
          </w:p>
        </w:tc>
      </w:tr>
    </w:tbl>
    <w:p>
      <w:pPr>
        <w:jc w:val="left"/>
      </w:pPr>
      <w:r>
        <w:rPr>
          <w:b/>
          <w:sz w:val="22"/>
        </w:rPr>
        <w:t>5. Procedure</w:t>
      </w:r>
    </w:p>
    <w:p>
      <w:r>
        <w:rPr>
          <w:b/>
          <w:sz w:val="20"/>
        </w:rPr>
        <w:t>Part A — Ongoing Display Standards</w:t>
      </w:r>
    </w:p>
    <w:p>
      <w:pPr>
        <w:spacing w:after="80"/>
      </w:pPr>
      <w:r>
        <w:rPr>
          <w:sz w:val="20"/>
        </w:rPr>
        <w:t>1. Maintain category-specific standards for figures and statues, manga and light novels, apparel, accessories, home and lifestyle goods, trading cards, media, and the consignment or local creator section.</w:t>
      </w:r>
    </w:p>
    <w:p>
      <w:pPr>
        <w:spacing w:after="40"/>
        <w:ind w:left="432"/>
      </w:pPr>
      <w:r>
        <w:rPr>
          <w:sz w:val="20"/>
        </w:rPr>
        <w:t>a. Figures should be front-faced and grouped by franchise or scale where practical.</w:t>
      </w:r>
    </w:p>
    <w:p>
      <w:pPr>
        <w:spacing w:after="40"/>
        <w:ind w:left="432"/>
      </w:pPr>
      <w:r>
        <w:rPr>
          <w:sz w:val="20"/>
        </w:rPr>
        <w:t>b. Manga should be shelved spine-out, ordered neatly, and flagged for current-volume gaps.</w:t>
      </w:r>
    </w:p>
    <w:p>
      <w:pPr>
        <w:spacing w:after="40"/>
        <w:ind w:left="432"/>
      </w:pPr>
      <w:r>
        <w:rPr>
          <w:sz w:val="20"/>
        </w:rPr>
        <w:t>c. Apparel should be folded or hung consistently by size and theme.</w:t>
      </w:r>
    </w:p>
    <w:p>
      <w:pPr>
        <w:spacing w:after="40"/>
        <w:ind w:left="432"/>
      </w:pPr>
      <w:r>
        <w:rPr>
          <w:sz w:val="20"/>
        </w:rPr>
        <w:t>d. Accessories and home or lifestyle items should be grouped by use case and price point.</w:t>
      </w:r>
    </w:p>
    <w:p>
      <w:pPr>
        <w:spacing w:after="40"/>
        <w:ind w:left="432"/>
      </w:pPr>
      <w:r>
        <w:rPr>
          <w:sz w:val="20"/>
        </w:rPr>
        <w:t>e. Trading cards should remain neat, clearly priced, and separated between sealed product and accessories.</w:t>
      </w:r>
    </w:p>
    <w:p>
      <w:pPr>
        <w:spacing w:after="40"/>
        <w:ind w:left="432"/>
      </w:pPr>
      <w:r>
        <w:rPr>
          <w:sz w:val="20"/>
        </w:rPr>
        <w:t>f. Media should stay selective, visible, and easy to browse.</w:t>
      </w:r>
    </w:p>
    <w:p>
      <w:pPr>
        <w:spacing w:after="40"/>
        <w:ind w:left="432"/>
      </w:pPr>
      <w:r>
        <w:rPr>
          <w:sz w:val="20"/>
        </w:rPr>
        <w:t>g. Consignment items must keep creator attribution visible at all times.</w:t>
      </w:r>
    </w:p>
    <w:p>
      <w:pPr>
        <w:spacing w:after="80"/>
      </w:pPr>
      <w:r>
        <w:rPr>
          <w:sz w:val="20"/>
        </w:rPr>
        <w:t>2. Complete daily straightening so shelves are faced, empty hooks are addressed, and dust, fingerprints, or packaging debris are removed from customer-facing areas.</w:t>
      </w:r>
    </w:p>
    <w:p>
      <w:pPr>
        <w:spacing w:after="80"/>
      </w:pPr>
      <w:r>
        <w:rPr>
          <w:sz w:val="20"/>
        </w:rPr>
        <w:t>3. Use consistent signage standards for price tags, section labels, promotional cards, and new-arrival signs so all customer-facing messaging is legible and current.</w:t>
      </w:r>
    </w:p>
    <w:p>
      <w:pPr>
        <w:spacing w:after="40"/>
        <w:ind w:left="432"/>
      </w:pPr>
      <w:r>
        <w:rPr>
          <w:sz w:val="20"/>
        </w:rPr>
        <w:t>a. Remove expired promotional signs the same day the offer ends.</w:t>
      </w:r>
    </w:p>
    <w:p>
      <w:pPr>
        <w:spacing w:after="80"/>
      </w:pPr>
      <w:r>
        <w:rPr>
          <w:sz w:val="20"/>
        </w:rPr>
        <w:t>4. Place new arrivals in the designated new-release zone or approved end cap before integrating them into permanent category shelving.</w:t>
      </w:r>
    </w:p>
    <w:p>
      <w:pPr>
        <w:spacing w:after="80"/>
      </w:pPr>
      <w:r>
        <w:rPr>
          <w:sz w:val="20"/>
        </w:rPr>
        <w:t>5. Keep figures priced at $100 or more in a locked display case or other manager-approved secure presentation zone when they are on display.</w:t>
      </w:r>
    </w:p>
    <w:p>
      <w:pPr>
        <w:spacing w:after="40"/>
        <w:ind w:left="432"/>
      </w:pPr>
      <w:r>
        <w:rPr>
          <w:sz w:val="20"/>
        </w:rPr>
        <w:t>a. Locked-case keys remain with manager-level staff only.</w:t>
      </w:r>
    </w:p>
    <w:p>
      <w:r>
        <w:rPr>
          <w:b/>
          <w:sz w:val="20"/>
        </w:rPr>
        <w:t>Part B — Seasonal and Thematic Resets</w:t>
      </w:r>
    </w:p>
    <w:p>
      <w:pPr>
        <w:spacing w:after="80"/>
      </w:pPr>
      <w:r>
        <w:rPr>
          <w:sz w:val="20"/>
        </w:rPr>
        <w:t>6. Use reset triggers that include anime release-calendar milestones, regional conventions such as Anime Matsuri or A-Kon, major franchise launches, and general retail moments such as Valentine's Day, back-to-school, and the winter holiday season.</w:t>
      </w:r>
    </w:p>
    <w:p>
      <w:pPr>
        <w:spacing w:after="80"/>
      </w:pPr>
      <w:r>
        <w:rPr>
          <w:sz w:val="20"/>
        </w:rPr>
        <w:t>7. Plan resets at least two weeks before the target event or launch so product moves, signage, replenishment, and labor scheduling are ready on time.</w:t>
      </w:r>
    </w:p>
    <w:p>
      <w:pPr>
        <w:spacing w:after="40"/>
        <w:ind w:left="432"/>
      </w:pPr>
      <w:r>
        <w:rPr>
          <w:sz w:val="20"/>
        </w:rPr>
        <w:t>a. The Store Manager or Assistant Manager should confirm reset objectives, featured categories, and any cross-merchandising goals before execution begins.</w:t>
      </w:r>
    </w:p>
    <w:p>
      <w:pPr>
        <w:spacing w:after="80"/>
      </w:pPr>
      <w:r>
        <w:rPr>
          <w:sz w:val="20"/>
        </w:rPr>
        <w:t>8. Execute the reset using an updated floor map or fixture plan, moving product deliberately, updating signage, and protecting sellable packaging throughout the process.</w:t>
      </w:r>
    </w:p>
    <w:p>
      <w:pPr>
        <w:spacing w:after="80"/>
      </w:pPr>
      <w:r>
        <w:rPr>
          <w:sz w:val="20"/>
        </w:rPr>
        <w:t>9. Complete a post-reset walkthrough for approval before the reset is considered finished and correct any presentation or pricing issues immediately.</w:t>
      </w:r>
    </w:p>
    <w:p>
      <w:pPr>
        <w:spacing w:after="80"/>
      </w:pPr>
      <w:r>
        <w:rPr>
          <w:sz w:val="20"/>
        </w:rPr>
        <w:t>10. Rotate end caps on a monthly cadence unless an earlier change is required by a release, sell-through issue, or event priority.</w:t>
      </w:r>
    </w:p>
    <w:p>
      <w:pPr>
        <w:jc w:val="left"/>
      </w:pPr>
      <w:r>
        <w:rPr>
          <w:b/>
          <w:sz w:val="22"/>
        </w:rPr>
        <w:t>6. Related Documents</w:t>
      </w:r>
    </w:p>
    <w:p>
      <w:pPr>
        <w:pStyle w:val="ListBullet"/>
      </w:pPr>
      <w:r>
        <w:t>SOP-007: Inventory Receiving, Stocking, and Cycle Counts SOP</w:t>
      </w:r>
    </w:p>
    <w:p>
      <w:pPr>
        <w:jc w:val="left"/>
      </w:pPr>
      <w:r>
        <w:rPr>
          <w:b/>
          <w:sz w:val="22"/>
        </w:rPr>
        <w:t>7. Revision History</w:t>
      </w:r>
    </w:p>
    <w:tbl>
      <w:tblPr>
        <w:tblStyle w:val="TableGrid"/>
        <w:tblW w:type="auto" w:w="0"/>
        <w:jc w:val="center"/>
        <w:tblLook w:firstColumn="1" w:firstRow="1" w:lastColumn="0" w:lastRow="0" w:noHBand="0" w:noVBand="1" w:val="04A0"/>
      </w:tblPr>
      <w:tblGrid>
        <w:gridCol w:w="3312"/>
        <w:gridCol w:w="3312"/>
        <w:gridCol w:w="3312"/>
      </w:tblGrid>
      <w:tr>
        <w:trPr>
          <w:tblHeader w:val="true"/>
        </w:trPr>
        <w:tc>
          <w:tcPr>
            <w:tcW w:type="dxa" w:w="3312"/>
          </w:tcPr>
          <w:p>
            <w:r/>
            <w:r>
              <w:rPr>
                <w:b/>
                <w:sz w:val="20"/>
              </w:rPr>
              <w:t>Date</w:t>
            </w:r>
          </w:p>
        </w:tc>
        <w:tc>
          <w:tcPr>
            <w:tcW w:type="dxa" w:w="3312"/>
          </w:tcPr>
          <w:p>
            <w:r/>
            <w:r>
              <w:rPr>
                <w:b/>
                <w:sz w:val="20"/>
              </w:rPr>
              <w:t>Description</w:t>
            </w:r>
          </w:p>
        </w:tc>
        <w:tc>
          <w:tcPr>
            <w:tcW w:type="dxa" w:w="3312"/>
          </w:tcPr>
          <w:p>
            <w:r/>
            <w:r>
              <w:rPr>
                <w:b/>
                <w:sz w:val="20"/>
              </w:rPr>
              <w:t>Approved By</w:t>
            </w:r>
          </w:p>
        </w:tc>
      </w:tr>
      <w:tr>
        <w:tc>
          <w:tcPr>
            <w:tcW w:type="dxa" w:w="3312"/>
          </w:tcPr>
          <w:p>
            <w:r/>
            <w:r>
              <w:rPr>
                <w:b w:val="0"/>
                <w:sz w:val="20"/>
              </w:rPr>
            </w:r>
          </w:p>
        </w:tc>
        <w:tc>
          <w:tcPr>
            <w:tcW w:type="dxa" w:w="3312"/>
          </w:tcPr>
          <w:p>
            <w:r/>
            <w:r>
              <w:rPr>
                <w:b w:val="0"/>
                <w:sz w:val="20"/>
              </w:rPr>
            </w:r>
          </w:p>
        </w:tc>
        <w:tc>
          <w:tcPr>
            <w:tcW w:type="dxa" w:w="3312"/>
          </w:tcPr>
          <w:p>
            <w:r/>
            <w:r>
              <w:rPr>
                <w:b w:val="0"/>
                <w:sz w:val="20"/>
              </w:rPr>
            </w:r>
          </w:p>
        </w:tc>
      </w:tr>
    </w:tbl>
    <w:sectPr w:rsidR="00FC693F" w:rsidRPr="0006063C" w:rsidSect="00034616">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