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4968"/>
        <w:gridCol w:w="4968"/>
      </w:tblGrid>
      <w:tr>
        <w:tc>
          <w:tcPr>
            <w:tcW w:type="dxa" w:w="4968"/>
          </w:tcPr>
          <w:p>
            <w:r/>
            <w:r>
              <w:rPr>
                <w:b/>
                <w:sz w:val="20"/>
              </w:rPr>
              <w:t>SOP Title</w:t>
            </w:r>
          </w:p>
        </w:tc>
        <w:tc>
          <w:tcPr>
            <w:tcW w:type="dxa" w:w="4968"/>
          </w:tcPr>
          <w:p>
            <w:r/>
            <w:r>
              <w:rPr>
                <w:b w:val="0"/>
                <w:sz w:val="20"/>
              </w:rPr>
              <w:t>Inventory Receiving, Stocking, and Cycle Counts SOP</w:t>
            </w:r>
          </w:p>
        </w:tc>
      </w:tr>
      <w:tr>
        <w:tc>
          <w:tcPr>
            <w:tcW w:type="dxa" w:w="4968"/>
          </w:tcPr>
          <w:p>
            <w:r/>
            <w:r>
              <w:rPr>
                <w:b/>
                <w:sz w:val="20"/>
              </w:rPr>
              <w:t>Document Number</w:t>
            </w:r>
          </w:p>
        </w:tc>
        <w:tc>
          <w:tcPr>
            <w:tcW w:type="dxa" w:w="4968"/>
          </w:tcPr>
          <w:p>
            <w:r/>
            <w:r>
              <w:rPr>
                <w:b w:val="0"/>
                <w:sz w:val="20"/>
              </w:rPr>
              <w:t>SOP-007</w:t>
            </w:r>
          </w:p>
        </w:tc>
      </w:tr>
      <w:tr>
        <w:tc>
          <w:tcPr>
            <w:tcW w:type="dxa" w:w="4968"/>
          </w:tcPr>
          <w:p>
            <w:r/>
            <w:r>
              <w:rPr>
                <w:b/>
                <w:sz w:val="20"/>
              </w:rPr>
              <w:t>Effective Date</w:t>
            </w:r>
          </w:p>
        </w:tc>
        <w:tc>
          <w:tcPr>
            <w:tcW w:type="dxa" w:w="4968"/>
          </w:tcPr>
          <w:p>
            <w:r/>
            <w:r>
              <w:rPr>
                <w:b w:val="0"/>
                <w:sz w:val="20"/>
              </w:rPr>
              <w:t>June 1, 2026</w:t>
            </w:r>
          </w:p>
        </w:tc>
      </w:tr>
      <w:tr>
        <w:tc>
          <w:tcPr>
            <w:tcW w:type="dxa" w:w="4968"/>
          </w:tcPr>
          <w:p>
            <w:r/>
            <w:r>
              <w:rPr>
                <w:b/>
                <w:sz w:val="20"/>
              </w:rPr>
              <w:t>Last Revised</w:t>
            </w:r>
          </w:p>
        </w:tc>
        <w:tc>
          <w:tcPr>
            <w:tcW w:type="dxa" w:w="4968"/>
          </w:tcPr>
          <w:p>
            <w:r/>
            <w:r>
              <w:rPr>
                <w:b w:val="0"/>
                <w:sz w:val="20"/>
              </w:rPr>
              <w:t>June 1, 2026</w:t>
            </w:r>
          </w:p>
        </w:tc>
      </w:tr>
      <w:tr>
        <w:tc>
          <w:tcPr>
            <w:tcW w:type="dxa" w:w="4968"/>
          </w:tcPr>
          <w:p>
            <w:r/>
            <w:r>
              <w:rPr>
                <w:b/>
                <w:sz w:val="20"/>
              </w:rPr>
              <w:t>Approved By</w:t>
            </w:r>
          </w:p>
        </w:tc>
        <w:tc>
          <w:tcPr>
            <w:tcW w:type="dxa" w:w="4968"/>
          </w:tcPr>
          <w:p>
            <w:r/>
            <w:r>
              <w:rPr>
                <w:b w:val="0"/>
                <w:sz w:val="20"/>
              </w:rPr>
              <w:t>Store Manager</w:t>
            </w:r>
          </w:p>
        </w:tc>
      </w:tr>
    </w:tbl>
    <w:p>
      <w:pPr>
        <w:jc w:val="left"/>
      </w:pPr>
      <w:r>
        <w:rPr>
          <w:b/>
          <w:sz w:val="22"/>
        </w:rPr>
        <w:t>2. Purpose</w:t>
      </w:r>
    </w:p>
    <w:p>
      <w:r>
        <w:t>This procedure governs how inventory is received, stocked, and counted so Otaku Haven maintains accurate inventory records, protects product quality, and supports consistent merchandising.</w:t>
      </w:r>
    </w:p>
    <w:p>
      <w:pPr>
        <w:jc w:val="left"/>
      </w:pPr>
      <w:r>
        <w:rPr>
          <w:b/>
          <w:sz w:val="22"/>
        </w:rPr>
        <w:t>3. Scope</w:t>
      </w:r>
    </w:p>
    <w:p>
      <w:r>
        <w:t>This SOP applies to deliveries received at the storefront, inventory entry in Square for Retail, floor stocking, and rotating cycle counts across all product categories. It applies to all employees involved in inventory tasks, with manager sign-off required for receiving discrepancies and final adjustments.</w:t>
      </w:r>
    </w:p>
    <w:p>
      <w:pPr>
        <w:jc w:val="left"/>
      </w:pPr>
      <w:r>
        <w:rPr>
          <w:b/>
          <w:sz w:val="22"/>
        </w:rPr>
        <w:t>4. Responsibilities</w:t>
      </w:r>
    </w:p>
    <w:tbl>
      <w:tblPr>
        <w:tblStyle w:val="TableGrid"/>
        <w:tblW w:type="auto" w:w="0"/>
        <w:jc w:val="center"/>
        <w:tblLook w:firstColumn="1" w:firstRow="1" w:lastColumn="0" w:lastRow="0" w:noHBand="0" w:noVBand="1" w:val="04A0"/>
      </w:tblPr>
      <w:tblGrid>
        <w:gridCol w:w="4968"/>
        <w:gridCol w:w="4968"/>
      </w:tblGrid>
      <w:tr>
        <w:trPr>
          <w:tblHeader w:val="true"/>
        </w:trPr>
        <w:tc>
          <w:tcPr>
            <w:tcW w:type="dxa" w:w="4968"/>
          </w:tcPr>
          <w:p>
            <w:r/>
            <w:r>
              <w:rPr>
                <w:b/>
                <w:sz w:val="20"/>
              </w:rPr>
              <w:t>Role</w:t>
            </w:r>
          </w:p>
        </w:tc>
        <w:tc>
          <w:tcPr>
            <w:tcW w:type="dxa" w:w="4968"/>
          </w:tcPr>
          <w:p>
            <w:r/>
            <w:r>
              <w:rPr>
                <w:b/>
                <w:sz w:val="20"/>
              </w:rPr>
              <w:t>Responsibility</w:t>
            </w:r>
          </w:p>
        </w:tc>
      </w:tr>
      <w:tr>
        <w:tc>
          <w:tcPr>
            <w:tcW w:type="dxa" w:w="4968"/>
          </w:tcPr>
          <w:p>
            <w:r/>
            <w:r>
              <w:rPr>
                <w:b/>
                <w:sz w:val="20"/>
              </w:rPr>
              <w:t>Store Manager</w:t>
            </w:r>
          </w:p>
        </w:tc>
        <w:tc>
          <w:tcPr>
            <w:tcW w:type="dxa" w:w="4968"/>
          </w:tcPr>
          <w:p>
            <w:r/>
            <w:r>
              <w:rPr>
                <w:b w:val="0"/>
                <w:sz w:val="20"/>
              </w:rPr>
              <w:t>Approves receiving exceptions, signs off on major discrepancies, and reviews cycle-count investigations and inventory adjustments.</w:t>
            </w:r>
          </w:p>
        </w:tc>
      </w:tr>
      <w:tr>
        <w:tc>
          <w:tcPr>
            <w:tcW w:type="dxa" w:w="4968"/>
          </w:tcPr>
          <w:p>
            <w:r/>
            <w:r>
              <w:rPr>
                <w:b/>
                <w:sz w:val="20"/>
              </w:rPr>
              <w:t>Assistant Manager</w:t>
            </w:r>
          </w:p>
        </w:tc>
        <w:tc>
          <w:tcPr>
            <w:tcW w:type="dxa" w:w="4968"/>
          </w:tcPr>
          <w:p>
            <w:r/>
            <w:r>
              <w:rPr>
                <w:b w:val="0"/>
                <w:sz w:val="20"/>
              </w:rPr>
              <w:t>Leads receiving, validates counts and pricing, and supervises cycle-count execution and variance follow-up.</w:t>
            </w:r>
          </w:p>
        </w:tc>
      </w:tr>
      <w:tr>
        <w:tc>
          <w:tcPr>
            <w:tcW w:type="dxa" w:w="4968"/>
          </w:tcPr>
          <w:p>
            <w:r/>
            <w:r>
              <w:rPr>
                <w:b/>
                <w:sz w:val="20"/>
              </w:rPr>
              <w:t>Key Holder</w:t>
            </w:r>
          </w:p>
        </w:tc>
        <w:tc>
          <w:tcPr>
            <w:tcW w:type="dxa" w:w="4968"/>
          </w:tcPr>
          <w:p>
            <w:r/>
            <w:r>
              <w:rPr>
                <w:b w:val="0"/>
                <w:sz w:val="20"/>
              </w:rPr>
              <w:t>May accept deliveries when designated, supports Square inventory entry, and coordinates stocking or counting tasks under manager direction.</w:t>
            </w:r>
          </w:p>
        </w:tc>
      </w:tr>
      <w:tr>
        <w:tc>
          <w:tcPr>
            <w:tcW w:type="dxa" w:w="4968"/>
          </w:tcPr>
          <w:p>
            <w:r/>
            <w:r>
              <w:rPr>
                <w:b/>
                <w:sz w:val="20"/>
              </w:rPr>
              <w:t>Sales Associate</w:t>
            </w:r>
          </w:p>
        </w:tc>
        <w:tc>
          <w:tcPr>
            <w:tcW w:type="dxa" w:w="4968"/>
          </w:tcPr>
          <w:p>
            <w:r/>
            <w:r>
              <w:rPr>
                <w:b w:val="0"/>
                <w:sz w:val="20"/>
              </w:rPr>
              <w:t>Stocks product, labels merchandise, and completes assigned cycle counts under manager supervision.</w:t>
            </w:r>
          </w:p>
        </w:tc>
      </w:tr>
    </w:tbl>
    <w:p>
      <w:pPr>
        <w:jc w:val="left"/>
      </w:pPr>
      <w:r>
        <w:rPr>
          <w:b/>
          <w:sz w:val="22"/>
        </w:rPr>
        <w:t>5. Procedure</w:t>
      </w:r>
    </w:p>
    <w:p>
      <w:r>
        <w:rPr>
          <w:b/>
          <w:sz w:val="20"/>
        </w:rPr>
        <w:t>Part A — Receiving</w:t>
      </w:r>
    </w:p>
    <w:p>
      <w:pPr>
        <w:spacing w:after="80"/>
      </w:pPr>
      <w:r>
        <w:rPr>
          <w:sz w:val="20"/>
        </w:rPr>
        <w:t>1. Accept deliveries only from authorized carriers and only by a Store Manager, Assistant Manager, or a Key Holder specifically designated by management for that delivery window.</w:t>
      </w:r>
    </w:p>
    <w:p>
      <w:pPr>
        <w:spacing w:after="40"/>
        <w:ind w:left="432"/>
      </w:pPr>
      <w:r>
        <w:rPr>
          <w:sz w:val="20"/>
        </w:rPr>
        <w:t>a. Final discrepancy sign-off remains with the Store Manager or Assistant Manager.</w:t>
      </w:r>
    </w:p>
    <w:p>
      <w:pPr>
        <w:spacing w:after="40"/>
        <w:ind w:left="432"/>
      </w:pPr>
      <w:r>
        <w:rPr>
          <w:sz w:val="20"/>
        </w:rPr>
        <w:t>b. Otaku Haven receives deliveries directly at the storefront and does not use a warehouse or dedicated receiving dock.</w:t>
      </w:r>
    </w:p>
    <w:p>
      <w:pPr>
        <w:spacing w:after="80"/>
      </w:pPr>
      <w:r>
        <w:rPr>
          <w:sz w:val="20"/>
        </w:rPr>
        <w:t>2. Check every shipment against the related purchase order, packing slip, or expected-delivery record for SKU, quantity, and visible condition before shelving product.</w:t>
      </w:r>
    </w:p>
    <w:p>
      <w:pPr>
        <w:spacing w:after="40"/>
        <w:ind w:left="432"/>
      </w:pPr>
      <w:r>
        <w:rPr>
          <w:sz w:val="20"/>
        </w:rPr>
        <w:t>a. Separate damaged cartons, short shipments, and wrong items immediately so they do not enter saleable inventory by mistake.</w:t>
      </w:r>
    </w:p>
    <w:p>
      <w:pPr>
        <w:spacing w:after="80"/>
      </w:pPr>
      <w:r>
        <w:rPr>
          <w:sz w:val="20"/>
        </w:rPr>
        <w:t>3. Document discrepancies on the Receiving Discrepancy Report and notify the Store Manager or Assistant Manager the same day for vendor follow-up.</w:t>
      </w:r>
    </w:p>
    <w:p>
      <w:pPr>
        <w:spacing w:after="40"/>
        <w:ind w:left="432"/>
      </w:pPr>
      <w:r>
        <w:rPr>
          <w:sz w:val="20"/>
        </w:rPr>
        <w:t>a. Include photos when packaging or item damage is visible.</w:t>
      </w:r>
    </w:p>
    <w:p>
      <w:pPr>
        <w:spacing w:after="80"/>
      </w:pPr>
      <w:r>
        <w:rPr>
          <w:sz w:val="20"/>
        </w:rPr>
        <w:t>4. Sign the carrier delivery confirmation only after the shipment count and visible-condition review are completed to the extent practical at receipt.</w:t>
      </w:r>
    </w:p>
    <w:p>
      <w:r>
        <w:rPr>
          <w:b/>
          <w:sz w:val="20"/>
        </w:rPr>
        <w:t>Part B — Stocking</w:t>
      </w:r>
    </w:p>
    <w:p>
      <w:pPr>
        <w:spacing w:after="80"/>
      </w:pPr>
      <w:r>
        <w:rPr>
          <w:sz w:val="20"/>
        </w:rPr>
        <w:t>5. Enter received inventory into Square for Retail before the product is put on the floor unless a manager directs a controlled exception for urgent same-day release.</w:t>
      </w:r>
    </w:p>
    <w:p>
      <w:pPr>
        <w:spacing w:after="40"/>
        <w:ind w:left="432"/>
      </w:pPr>
      <w:r>
        <w:rPr>
          <w:sz w:val="20"/>
        </w:rPr>
        <w:t>a. Confirm item name, SKU, quantity, selling price, and cost fields are correct when the item is added or received.</w:t>
      </w:r>
    </w:p>
    <w:p>
      <w:pPr>
        <w:spacing w:after="80"/>
      </w:pPr>
      <w:r>
        <w:rPr>
          <w:sz w:val="20"/>
        </w:rPr>
        <w:t>6. Label and price every item according to current standards, placing stickers where they are visible to staff and customers without damaging packaging or artwork.</w:t>
      </w:r>
    </w:p>
    <w:p>
      <w:pPr>
        <w:spacing w:after="40"/>
        <w:ind w:left="432"/>
      </w:pPr>
      <w:r>
        <w:rPr>
          <w:sz w:val="20"/>
        </w:rPr>
        <w:t>a. Do not place price labels over barcodes, product art, manufacturer warnings, or collector-window panels unless no alternative exists.</w:t>
      </w:r>
    </w:p>
    <w:p>
      <w:pPr>
        <w:spacing w:after="80"/>
      </w:pPr>
      <w:r>
        <w:rPr>
          <w:sz w:val="20"/>
        </w:rPr>
        <w:t>7. Stock merchandise in the correct category zone and follow the current floor map or planogram for figures, manga, apparel, accessories, home and lifestyle, trading cards, media, and consignment merchandise.</w:t>
      </w:r>
    </w:p>
    <w:p>
      <w:pPr>
        <w:spacing w:after="80"/>
      </w:pPr>
      <w:r>
        <w:rPr>
          <w:sz w:val="20"/>
        </w:rPr>
        <w:t>8. Flag eligible product as a new arrival and place it in the approved new-release shelf, end cap, or feature zone before moving it into long-term shelving.</w:t>
      </w:r>
    </w:p>
    <w:p>
      <w:r>
        <w:rPr>
          <w:b/>
          <w:sz w:val="20"/>
        </w:rPr>
        <w:t>Part C — Cycle Counts</w:t>
      </w:r>
    </w:p>
    <w:p>
      <w:pPr>
        <w:spacing w:after="80"/>
      </w:pPr>
      <w:r>
        <w:rPr>
          <w:sz w:val="20"/>
        </w:rPr>
        <w:t>9. Follow a weekly cycle-count cadence, counting at least one rotating product category each week and counting figures and trading cards every week because of their value and shrink risk.</w:t>
      </w:r>
    </w:p>
    <w:p>
      <w:pPr>
        <w:spacing w:after="40"/>
        <w:ind w:left="432"/>
      </w:pPr>
      <w:r>
        <w:rPr>
          <w:sz w:val="20"/>
        </w:rPr>
        <w:t>a. All remaining categories must be touched through the rotation at least once each month.</w:t>
      </w:r>
    </w:p>
    <w:p>
      <w:pPr>
        <w:spacing w:after="80"/>
      </w:pPr>
      <w:r>
        <w:rPr>
          <w:sz w:val="20"/>
        </w:rPr>
        <w:t>10. Count items physically before store open or after close whenever possible, record the count on the approved count sheet, and recount any mismatch before entering an adjustment.</w:t>
      </w:r>
    </w:p>
    <w:p>
      <w:pPr>
        <w:spacing w:after="80"/>
      </w:pPr>
      <w:r>
        <w:rPr>
          <w:sz w:val="20"/>
        </w:rPr>
        <w:t>11. Enter verified count results into Square for Retail only after the recount is complete and the supervising manager or Key Holder confirms the figures.</w:t>
      </w:r>
    </w:p>
    <w:p>
      <w:pPr>
        <w:spacing w:after="80"/>
      </w:pPr>
      <w:r>
        <w:rPr>
          <w:sz w:val="20"/>
        </w:rPr>
        <w:t>12. Investigate discrepancies when the difference is 2 or more units on a single SKU, exceeds $50 in retail value, or repeats on the same item across two count cycles.</w:t>
      </w:r>
    </w:p>
    <w:p>
      <w:pPr>
        <w:spacing w:after="40"/>
        <w:ind w:left="432"/>
      </w:pPr>
      <w:r>
        <w:rPr>
          <w:sz w:val="20"/>
        </w:rPr>
        <w:t>a. Review receiving records, recent sales, returns, transfers, and possible shrink indicators before making a final adjustment.</w:t>
      </w:r>
    </w:p>
    <w:p>
      <w:pPr>
        <w:spacing w:after="80"/>
      </w:pPr>
      <w:r>
        <w:rPr>
          <w:sz w:val="20"/>
        </w:rPr>
        <w:t>13. Document final inventory adjustments with the Inventory Adjustment Form and retain the supporting count sheet for manager review.</w:t>
      </w:r>
    </w:p>
    <w:p>
      <w:pPr>
        <w:jc w:val="left"/>
      </w:pPr>
      <w:r>
        <w:rPr>
          <w:b/>
          <w:sz w:val="22"/>
        </w:rPr>
        <w:t>6. Related Documents</w:t>
      </w:r>
    </w:p>
    <w:p>
      <w:pPr>
        <w:pStyle w:val="ListBullet"/>
      </w:pPr>
      <w:r>
        <w:t>SOP-009: Loss Prevention and Incident Reporting SOP</w:t>
      </w:r>
    </w:p>
    <w:p>
      <w:pPr>
        <w:pStyle w:val="ListBullet"/>
      </w:pPr>
      <w:r>
        <w:t>Receiving Discrepancy Report</w:t>
      </w:r>
    </w:p>
    <w:p>
      <w:pPr>
        <w:pStyle w:val="ListBullet"/>
      </w:pPr>
      <w:r>
        <w:t>Inventory Adjustment Form</w:t>
      </w:r>
    </w:p>
    <w:p>
      <w:pPr>
        <w:jc w:val="left"/>
      </w:pPr>
      <w:r>
        <w:rPr>
          <w:b/>
          <w:sz w:val="22"/>
        </w:rPr>
        <w:t>7. Revision History</w:t>
      </w:r>
    </w:p>
    <w:tbl>
      <w:tblPr>
        <w:tblStyle w:val="TableGrid"/>
        <w:tblW w:type="auto" w:w="0"/>
        <w:jc w:val="center"/>
        <w:tblLook w:firstColumn="1" w:firstRow="1" w:lastColumn="0" w:lastRow="0" w:noHBand="0" w:noVBand="1" w:val="04A0"/>
      </w:tblPr>
      <w:tblGrid>
        <w:gridCol w:w="3312"/>
        <w:gridCol w:w="3312"/>
        <w:gridCol w:w="3312"/>
      </w:tblGrid>
      <w:tr>
        <w:trPr>
          <w:tblHeader w:val="true"/>
        </w:trPr>
        <w:tc>
          <w:tcPr>
            <w:tcW w:type="dxa" w:w="3312"/>
          </w:tcPr>
          <w:p>
            <w:r/>
            <w:r>
              <w:rPr>
                <w:b/>
                <w:sz w:val="20"/>
              </w:rPr>
              <w:t>Date</w:t>
            </w:r>
          </w:p>
        </w:tc>
        <w:tc>
          <w:tcPr>
            <w:tcW w:type="dxa" w:w="3312"/>
          </w:tcPr>
          <w:p>
            <w:r/>
            <w:r>
              <w:rPr>
                <w:b/>
                <w:sz w:val="20"/>
              </w:rPr>
              <w:t>Description</w:t>
            </w:r>
          </w:p>
        </w:tc>
        <w:tc>
          <w:tcPr>
            <w:tcW w:type="dxa" w:w="3312"/>
          </w:tcPr>
          <w:p>
            <w:r/>
            <w:r>
              <w:rPr>
                <w:b/>
                <w:sz w:val="20"/>
              </w:rPr>
              <w:t>Approved By</w:t>
            </w:r>
          </w:p>
        </w:tc>
      </w:tr>
      <w:tr>
        <w:tc>
          <w:tcPr>
            <w:tcW w:type="dxa" w:w="3312"/>
          </w:tcPr>
          <w:p>
            <w:r/>
            <w:r>
              <w:rPr>
                <w:b w:val="0"/>
                <w:sz w:val="20"/>
              </w:rPr>
            </w:r>
          </w:p>
        </w:tc>
        <w:tc>
          <w:tcPr>
            <w:tcW w:type="dxa" w:w="3312"/>
          </w:tcPr>
          <w:p>
            <w:r/>
            <w:r>
              <w:rPr>
                <w:b w:val="0"/>
                <w:sz w:val="20"/>
              </w:rPr>
            </w:r>
          </w:p>
        </w:tc>
        <w:tc>
          <w:tcPr>
            <w:tcW w:type="dxa" w:w="3312"/>
          </w:tcPr>
          <w:p>
            <w:r/>
            <w:r>
              <w:rPr>
                <w:b w:val="0"/>
                <w:sz w:val="20"/>
              </w:rPr>
            </w:r>
          </w:p>
        </w:tc>
      </w:tr>
    </w:tbl>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