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Returns, Exchanges, and Refunds SOP</w:t>
            </w:r>
          </w:p>
        </w:tc>
      </w:tr>
      <w:tr>
        <w:tc>
          <w:tcPr>
            <w:tcW w:type="dxa" w:w="4968"/>
          </w:tcPr>
          <w:p>
            <w:r/>
            <w:r>
              <w:rPr>
                <w:b/>
                <w:sz w:val="20"/>
              </w:rPr>
              <w:t>Document Number</w:t>
            </w:r>
          </w:p>
        </w:tc>
        <w:tc>
          <w:tcPr>
            <w:tcW w:type="dxa" w:w="4968"/>
          </w:tcPr>
          <w:p>
            <w:r/>
            <w:r>
              <w:rPr>
                <w:b w:val="0"/>
                <w:sz w:val="20"/>
              </w:rPr>
              <w:t>SOP-005</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defines how Otaku Haven handles returns, exchanges, and refunds so customers receive a fair, consistent response while the store protects product condition, margin, and inventory accuracy.</w:t>
      </w:r>
    </w:p>
    <w:p>
      <w:pPr>
        <w:jc w:val="left"/>
      </w:pPr>
      <w:r>
        <w:rPr>
          <w:b/>
          <w:sz w:val="22"/>
        </w:rPr>
        <w:t>3. Scope</w:t>
      </w:r>
    </w:p>
    <w:p>
      <w:r>
        <w:t>This SOP applies to every in-store return, exchange, and refund request for merchandise sold through Square for Retail. It applies to Sales Associates handling standard policy transactions and to Key Holders, Assistant Managers, and the Store Manager when exceptions are requested.</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Approves exceptions involving final-sale items, consignment merchandise, late defect claims, or higher-value override decisions.</w:t>
            </w:r>
          </w:p>
        </w:tc>
      </w:tr>
      <w:tr>
        <w:tc>
          <w:tcPr>
            <w:tcW w:type="dxa" w:w="4968"/>
          </w:tcPr>
          <w:p>
            <w:r/>
            <w:r>
              <w:rPr>
                <w:b/>
                <w:sz w:val="20"/>
              </w:rPr>
              <w:t>Assistant Manager</w:t>
            </w:r>
          </w:p>
        </w:tc>
        <w:tc>
          <w:tcPr>
            <w:tcW w:type="dxa" w:w="4968"/>
          </w:tcPr>
          <w:p>
            <w:r/>
            <w:r>
              <w:rPr>
                <w:b w:val="0"/>
                <w:sz w:val="20"/>
              </w:rPr>
              <w:t>Reviews policy exceptions, approves eligible no-receipt store-credit cases, and confirms returned merchandise is handled correctly.</w:t>
            </w:r>
          </w:p>
        </w:tc>
      </w:tr>
      <w:tr>
        <w:tc>
          <w:tcPr>
            <w:tcW w:type="dxa" w:w="4968"/>
          </w:tcPr>
          <w:p>
            <w:r/>
            <w:r>
              <w:rPr>
                <w:b/>
                <w:sz w:val="20"/>
              </w:rPr>
              <w:t>Key Holder</w:t>
            </w:r>
          </w:p>
        </w:tc>
        <w:tc>
          <w:tcPr>
            <w:tcW w:type="dxa" w:w="4968"/>
          </w:tcPr>
          <w:p>
            <w:r/>
            <w:r>
              <w:rPr>
                <w:b w:val="0"/>
                <w:sz w:val="20"/>
              </w:rPr>
              <w:t>Approves standard no-receipt exchanges or store-credit requests within authority while acting as manager on duty.</w:t>
            </w:r>
          </w:p>
        </w:tc>
      </w:tr>
      <w:tr>
        <w:tc>
          <w:tcPr>
            <w:tcW w:type="dxa" w:w="4968"/>
          </w:tcPr>
          <w:p>
            <w:r/>
            <w:r>
              <w:rPr>
                <w:b/>
                <w:sz w:val="20"/>
              </w:rPr>
              <w:t>Sales Associate</w:t>
            </w:r>
          </w:p>
        </w:tc>
        <w:tc>
          <w:tcPr>
            <w:tcW w:type="dxa" w:w="4968"/>
          </w:tcPr>
          <w:p>
            <w:r/>
            <w:r>
              <w:rPr>
                <w:b w:val="0"/>
                <w:sz w:val="20"/>
              </w:rPr>
              <w:t>Processes standard returns or exchanges that clearly meet policy and routes exceptions to a manager-level employee before promising a resolution.</w:t>
            </w:r>
          </w:p>
        </w:tc>
      </w:tr>
    </w:tbl>
    <w:p>
      <w:pPr>
        <w:jc w:val="left"/>
      </w:pPr>
      <w:r>
        <w:rPr>
          <w:b/>
          <w:sz w:val="22"/>
        </w:rPr>
        <w:t>5. Procedure</w:t>
      </w:r>
    </w:p>
    <w:p>
      <w:pPr>
        <w:spacing w:after="80"/>
      </w:pPr>
      <w:r>
        <w:rPr>
          <w:sz w:val="20"/>
        </w:rPr>
        <w:t>1. Apply a standard return window of 30 days from the original purchase date for eligible merchandise.</w:t>
      </w:r>
    </w:p>
    <w:p>
      <w:pPr>
        <w:spacing w:after="40"/>
        <w:ind w:left="432"/>
      </w:pPr>
      <w:r>
        <w:rPr>
          <w:sz w:val="20"/>
        </w:rPr>
        <w:t>a. Count the purchase date as day zero and the 30th calendar day as the last day of standard eligibility.</w:t>
      </w:r>
    </w:p>
    <w:p>
      <w:pPr>
        <w:spacing w:after="80"/>
      </w:pPr>
      <w:r>
        <w:rPr>
          <w:sz w:val="20"/>
        </w:rPr>
        <w:t>2. Require the original receipt or verifiable Square for Retail purchase record for refunds to the original payment method.</w:t>
      </w:r>
    </w:p>
    <w:p>
      <w:pPr>
        <w:spacing w:after="40"/>
        <w:ind w:left="432"/>
      </w:pPr>
      <w:r>
        <w:rPr>
          <w:sz w:val="20"/>
        </w:rPr>
        <w:t>a. If the customer does not have a receipt, route the request to a Key Holder or higher for the no-receipt path.</w:t>
      </w:r>
    </w:p>
    <w:p>
      <w:pPr>
        <w:spacing w:after="40"/>
        <w:ind w:left="432"/>
      </w:pPr>
      <w:r>
        <w:rPr>
          <w:sz w:val="20"/>
        </w:rPr>
        <w:t>b. No-receipt transactions may be approved for exchange or store credit only when the item can be verified in Square for Retail and meets the condition standards below.</w:t>
      </w:r>
    </w:p>
    <w:p>
      <w:pPr>
        <w:spacing w:after="80"/>
      </w:pPr>
      <w:r>
        <w:rPr>
          <w:sz w:val="20"/>
        </w:rPr>
        <w:t>3. Accept returns only when the item is in resalable condition, with original packaging, included parts, tags, inserts, and no signs of use, wear, or damage caused after purchase.</w:t>
      </w:r>
    </w:p>
    <w:p>
      <w:pPr>
        <w:spacing w:after="40"/>
        <w:ind w:left="432"/>
      </w:pPr>
      <w:r>
        <w:rPr>
          <w:sz w:val="20"/>
        </w:rPr>
        <w:t>a. Apparel must be unworn, unwashed, and have original tags attached.</w:t>
      </w:r>
    </w:p>
    <w:p>
      <w:pPr>
        <w:spacing w:after="40"/>
        <w:ind w:left="432"/>
      </w:pPr>
      <w:r>
        <w:rPr>
          <w:sz w:val="20"/>
        </w:rPr>
        <w:t>b. Figures, accessories, media, and home or lifestyle items must include all original components.</w:t>
      </w:r>
    </w:p>
    <w:p>
      <w:pPr>
        <w:spacing w:after="80"/>
      </w:pPr>
      <w:r>
        <w:rPr>
          <w:sz w:val="20"/>
        </w:rPr>
        <w:t>4. Offer the approved refund method that matches policy eligibility: refund to original payment, store credit, or exchange.</w:t>
      </w:r>
    </w:p>
    <w:p>
      <w:pPr>
        <w:spacing w:after="40"/>
        <w:ind w:left="432"/>
      </w:pPr>
      <w:r>
        <w:rPr>
          <w:sz w:val="20"/>
        </w:rPr>
        <w:t>a. Cash purchases refund to cash only when the original cash sale is verified and the drawer has available funds.</w:t>
      </w:r>
    </w:p>
    <w:p>
      <w:pPr>
        <w:spacing w:after="40"/>
        <w:ind w:left="432"/>
      </w:pPr>
      <w:r>
        <w:rPr>
          <w:sz w:val="20"/>
        </w:rPr>
        <w:t>b. Card purchases refund back to the original card when the standard policy is met.</w:t>
      </w:r>
    </w:p>
    <w:p>
      <w:pPr>
        <w:spacing w:after="40"/>
        <w:ind w:left="432"/>
      </w:pPr>
      <w:r>
        <w:rPr>
          <w:sz w:val="20"/>
        </w:rPr>
        <w:t>c. Store credit may be used when no-receipt approval is granted or when the customer prefers credit instead of the original payment method.</w:t>
      </w:r>
    </w:p>
    <w:p>
      <w:pPr>
        <w:spacing w:after="80"/>
      </w:pPr>
      <w:r>
        <w:rPr>
          <w:sz w:val="20"/>
        </w:rPr>
        <w:t>5. Treat the following categories as non-returnable unless a manager determines there is a documented store error or verified defect: opened trading-card packs, boxes, or starter products; opened blind-box collectibles; digital codes; gift cards; clearance or final-sale merchandise; consignment or local-creator items; and worn or tag-removed apparel or cosplay accessories.</w:t>
      </w:r>
    </w:p>
    <w:p>
      <w:pPr>
        <w:spacing w:after="40"/>
        <w:ind w:left="432"/>
      </w:pPr>
      <w:r>
        <w:rPr>
          <w:sz w:val="20"/>
        </w:rPr>
        <w:t>a. Opened media is non-returnable unless it is defective; defective opened media is exchange-only for the same title when replacement stock is available.</w:t>
      </w:r>
    </w:p>
    <w:p>
      <w:pPr>
        <w:spacing w:after="80"/>
      </w:pPr>
      <w:r>
        <w:rPr>
          <w:sz w:val="20"/>
        </w:rPr>
        <w:t>6. Process exchanges based on the customer's request and the item's condition, whether for the same item, a different variant, or a different item of equal or greater value.</w:t>
      </w:r>
    </w:p>
    <w:p>
      <w:pPr>
        <w:spacing w:after="40"/>
        <w:ind w:left="432"/>
      </w:pPr>
      <w:r>
        <w:rPr>
          <w:sz w:val="20"/>
        </w:rPr>
        <w:t>a. Same-item or same-title exchanges may be completed as even exchanges when the original selling price matches the replacement.</w:t>
      </w:r>
    </w:p>
    <w:p>
      <w:pPr>
        <w:spacing w:after="40"/>
        <w:ind w:left="432"/>
      </w:pPr>
      <w:r>
        <w:rPr>
          <w:sz w:val="20"/>
        </w:rPr>
        <w:t>b. Variant or different-item exchanges require the price difference to be collected or refunded according to policy.</w:t>
      </w:r>
    </w:p>
    <w:p>
      <w:pPr>
        <w:spacing w:after="40"/>
        <w:ind w:left="432"/>
      </w:pPr>
      <w:r>
        <w:rPr>
          <w:sz w:val="20"/>
        </w:rPr>
        <w:t>c. Unworn apparel with tags and unopened accessories may be exchanged for a size, color, or variant change within the return window.</w:t>
      </w:r>
    </w:p>
    <w:p>
      <w:pPr>
        <w:spacing w:after="80"/>
      </w:pPr>
      <w:r>
        <w:rPr>
          <w:sz w:val="20"/>
        </w:rPr>
        <w:t>7. Handle defective merchandise separately from standard change-of-mind returns and escalate items that may involve a vendor or manufacturer warranty.</w:t>
      </w:r>
    </w:p>
    <w:p>
      <w:pPr>
        <w:spacing w:after="40"/>
        <w:ind w:left="432"/>
      </w:pPr>
      <w:r>
        <w:rPr>
          <w:sz w:val="20"/>
        </w:rPr>
        <w:t>a. If a defect is reported within 30 days and can be verified, offer replacement, exchange, or refund according to condition and stock availability.</w:t>
      </w:r>
    </w:p>
    <w:p>
      <w:pPr>
        <w:spacing w:after="40"/>
        <w:ind w:left="432"/>
      </w:pPr>
      <w:r>
        <w:rPr>
          <w:sz w:val="20"/>
        </w:rPr>
        <w:t>b. If a defect is reported after 30 days, route the case to the Store Manager for warranty or vendor escalation review.</w:t>
      </w:r>
    </w:p>
    <w:p>
      <w:pPr>
        <w:spacing w:after="80"/>
      </w:pPr>
      <w:r>
        <w:rPr>
          <w:sz w:val="20"/>
        </w:rPr>
        <w:t>8. Use manager override authority only in defined scenarios and record the reason in the transaction notes.</w:t>
      </w:r>
    </w:p>
    <w:p>
      <w:pPr>
        <w:spacing w:after="40"/>
        <w:ind w:left="432"/>
      </w:pPr>
      <w:r>
        <w:rPr>
          <w:sz w:val="20"/>
        </w:rPr>
        <w:t>a. Key Holder or Assistant Manager: approved no-receipt exchange or store credit for unopened, verifiable items valued at $50 or less.</w:t>
      </w:r>
    </w:p>
    <w:p>
      <w:pPr>
        <w:spacing w:after="40"/>
        <w:ind w:left="432"/>
      </w:pPr>
      <w:r>
        <w:rPr>
          <w:sz w:val="20"/>
        </w:rPr>
        <w:t>b. Assistant Manager or Store Manager: receipt-backed exceptions up to 7 days outside the return window for clearly resalable items.</w:t>
      </w:r>
    </w:p>
    <w:p>
      <w:pPr>
        <w:spacing w:after="40"/>
        <w:ind w:left="432"/>
      </w:pPr>
      <w:r>
        <w:rPr>
          <w:sz w:val="20"/>
        </w:rPr>
        <w:t>c. Store Manager only: any exception involving consignment merchandise, clearance or final-sale items, late defect claims, or suspected store error after same-day close.</w:t>
      </w:r>
    </w:p>
    <w:p>
      <w:pPr>
        <w:spacing w:after="80"/>
      </w:pPr>
      <w:r>
        <w:rPr>
          <w:sz w:val="20"/>
        </w:rPr>
        <w:t>9. Process the approved return or exchange in Square for Retail using the correct return workflow, attach notes for any exception, and issue the refund or store credit immediately after final approval.</w:t>
      </w:r>
    </w:p>
    <w:p>
      <w:pPr>
        <w:spacing w:after="80"/>
      </w:pPr>
      <w:r>
        <w:rPr>
          <w:sz w:val="20"/>
        </w:rPr>
        <w:t>10. Sort returned merchandise into restock, damage, defect, or vendor-review status before placing it back on the floor or in the back room.</w:t>
      </w:r>
    </w:p>
    <w:p>
      <w:pPr>
        <w:spacing w:after="40"/>
        <w:ind w:left="432"/>
      </w:pPr>
      <w:r>
        <w:rPr>
          <w:sz w:val="20"/>
        </w:rPr>
        <w:t>a. Restock only items that meet full resalable standards.</w:t>
      </w:r>
    </w:p>
    <w:p>
      <w:pPr>
        <w:spacing w:after="40"/>
        <w:ind w:left="432"/>
      </w:pPr>
      <w:r>
        <w:rPr>
          <w:sz w:val="20"/>
        </w:rPr>
        <w:t>b. Flag damaged or defective items for vendor review or disposal using the manager-approved inventory adjustment process.</w:t>
      </w:r>
    </w:p>
    <w:p>
      <w:pPr>
        <w:jc w:val="left"/>
      </w:pPr>
      <w:r>
        <w:rPr>
          <w:b/>
          <w:sz w:val="22"/>
        </w:rPr>
        <w:t>6. Related Documents</w:t>
      </w:r>
    </w:p>
    <w:p>
      <w:pPr>
        <w:pStyle w:val="ListBullet"/>
      </w:pPr>
      <w:r>
        <w:t>SOP-004: POS Usage and Transaction Handling SOP</w:t>
      </w:r>
    </w:p>
    <w:p>
      <w:pPr>
        <w:pStyle w:val="ListBullet"/>
      </w:pPr>
      <w:r>
        <w:t>Employee Handbook — Section 4 - Technology and Social Media Use Policy</w:t>
      </w:r>
    </w:p>
    <w:p>
      <w:pPr>
        <w:pStyle w:val="ListBullet"/>
      </w:pPr>
      <w:r>
        <w:t>Employee Handbook — Section 8 - Discipline and Termination Procedure</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