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SOP Title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POS Usage and Transaction Handling SOP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Document Number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SOP-004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Effective Date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Last Revised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Store Manager</w:t>
            </w:r>
          </w:p>
        </w:tc>
      </w:tr>
    </w:tbl>
    <w:p>
      <w:pPr>
        <w:jc w:val="left"/>
      </w:pPr>
      <w:r>
        <w:rPr>
          <w:b/>
          <w:sz w:val="22"/>
        </w:rPr>
        <w:t>2. Purpose</w:t>
      </w:r>
    </w:p>
    <w:p>
      <w:r>
        <w:t>This procedure standardizes how transactions are processed in Square for Retail so Otaku Haven handles sales, discounts, gift cards, and corrections accurately and consistently.</w:t>
      </w:r>
    </w:p>
    <w:p>
      <w:pPr>
        <w:jc w:val="left"/>
      </w:pPr>
      <w:r>
        <w:rPr>
          <w:b/>
          <w:sz w:val="22"/>
        </w:rPr>
        <w:t>3. Scope</w:t>
      </w:r>
    </w:p>
    <w:p>
      <w:r>
        <w:t>This SOP applies to all employees who use the POS at the register or for customer-facing checkout activity. It covers every in-store transaction type handled through Square for Retail during normal business operations.</w:t>
      </w:r>
    </w:p>
    <w:p>
      <w:pPr>
        <w:jc w:val="left"/>
      </w:pPr>
      <w:r>
        <w:rPr>
          <w:b/>
          <w:sz w:val="22"/>
        </w:rPr>
        <w:t>4.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blHeader w:val="true"/>
        </w:trPr>
        <w:tc>
          <w:tcPr>
            <w:tcW w:type="dxa" w:w="4968"/>
          </w:tcPr>
          <w:p>
            <w:r/>
            <w:r>
              <w:rPr>
                <w:b/>
                <w:sz w:val="20"/>
              </w:rPr>
              <w:t>Role</w:t>
            </w:r>
          </w:p>
        </w:tc>
        <w:tc>
          <w:tcPr>
            <w:tcW w:type="dxa" w:w="4968"/>
          </w:tcPr>
          <w:p>
            <w:r/>
            <w:r>
              <w:rPr>
                <w:b/>
                <w:sz w:val="20"/>
              </w:rPr>
              <w:t>Responsibility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Maintains manager-level POS permissions, approves higher-value discounts and overrides, and reviews disputed or irregular transactions.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Assistant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Supervises register operations, approves mid-tier overrides, and confirms staff are trained before independent POS use.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Key Holder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Approves voids, limited discounts, and transaction corrections within assigned authority while acting as manager on duty.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Sales Associate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Processes standard sales, receipts, and approved returns or exchanges within assigned authority using only their own Square login.</w:t>
            </w:r>
          </w:p>
        </w:tc>
      </w:tr>
    </w:tbl>
    <w:p>
      <w:pPr>
        <w:jc w:val="left"/>
      </w:pPr>
      <w:r>
        <w:rPr>
          <w:b/>
          <w:sz w:val="22"/>
        </w:rPr>
        <w:t>5. Procedure</w:t>
      </w:r>
    </w:p>
    <w:p>
      <w:pPr>
        <w:spacing w:after="80"/>
      </w:pPr>
      <w:r>
        <w:rPr>
          <w:sz w:val="20"/>
        </w:rPr>
        <w:t>1. Log in to Square for Retail using the employee's individual credentials at the start of the shift and never share passwords, badges, or manager codes.</w:t>
      </w:r>
    </w:p>
    <w:p>
      <w:pPr>
        <w:spacing w:after="40"/>
        <w:ind w:left="432"/>
      </w:pPr>
      <w:r>
        <w:rPr>
          <w:sz w:val="20"/>
        </w:rPr>
        <w:t>a. Employees may not operate the POS without completing store training and manager release.</w:t>
      </w:r>
    </w:p>
    <w:p>
      <w:pPr>
        <w:spacing w:after="80"/>
      </w:pPr>
      <w:r>
        <w:rPr>
          <w:sz w:val="20"/>
        </w:rPr>
        <w:t>2. Ring a standard sale by locating the correct item, confirming the quantity, reviewing the total with the customer, and selecting the final payment type before completion.</w:t>
      </w:r>
    </w:p>
    <w:p>
      <w:pPr>
        <w:spacing w:after="40"/>
        <w:ind w:left="432"/>
      </w:pPr>
      <w:r>
        <w:rPr>
          <w:sz w:val="20"/>
        </w:rPr>
        <w:t>a. Confirm product variants carefully for figures, apparel sizes, trading-card items, and creator-tagged consignment merchandise.</w:t>
      </w:r>
    </w:p>
    <w:p>
      <w:pPr>
        <w:spacing w:after="80"/>
      </w:pPr>
      <w:r>
        <w:rPr>
          <w:sz w:val="20"/>
        </w:rPr>
        <w:t>3. Accept approved payment methods only: cash, credit or debit cards, contactless payments, and Square gift cards.</w:t>
      </w:r>
    </w:p>
    <w:p>
      <w:pPr>
        <w:spacing w:after="40"/>
        <w:ind w:left="432"/>
      </w:pPr>
      <w:r>
        <w:rPr>
          <w:sz w:val="20"/>
        </w:rPr>
        <w:t>a. If a payment method is not supported in Square for Retail, do not attempt a workaround without manager approval.</w:t>
      </w:r>
    </w:p>
    <w:p>
      <w:pPr>
        <w:spacing w:after="80"/>
      </w:pPr>
      <w:r>
        <w:rPr>
          <w:sz w:val="20"/>
        </w:rPr>
        <w:t>4. Apply discounts only within the employee's authorization tier and document the reason in the transaction notes whenever a discretionary adjustment is used.</w:t>
      </w:r>
    </w:p>
    <w:p>
      <w:pPr>
        <w:spacing w:after="40"/>
        <w:ind w:left="432"/>
      </w:pPr>
      <w:r>
        <w:rPr>
          <w:sz w:val="20"/>
        </w:rPr>
        <w:t>a. Sales Associates may apply up to 5% discretionary discount for minor service recovery or approved packaging wear.</w:t>
      </w:r>
    </w:p>
    <w:p>
      <w:pPr>
        <w:spacing w:after="40"/>
        <w:ind w:left="432"/>
      </w:pPr>
      <w:r>
        <w:rPr>
          <w:sz w:val="20"/>
        </w:rPr>
        <w:t>b. Key Holders may approve discretionary discounts up to 10%.</w:t>
      </w:r>
    </w:p>
    <w:p>
      <w:pPr>
        <w:spacing w:after="40"/>
        <w:ind w:left="432"/>
      </w:pPr>
      <w:r>
        <w:rPr>
          <w:sz w:val="20"/>
        </w:rPr>
        <w:t>c. Assistant Managers may approve discretionary discounts up to 15%.</w:t>
      </w:r>
    </w:p>
    <w:p>
      <w:pPr>
        <w:spacing w:after="40"/>
        <w:ind w:left="432"/>
      </w:pPr>
      <w:r>
        <w:rPr>
          <w:sz w:val="20"/>
        </w:rPr>
        <w:t>d. Store Manager approval is required for any discretionary discount above 15%.</w:t>
      </w:r>
    </w:p>
    <w:p>
      <w:pPr>
        <w:spacing w:after="80"/>
      </w:pPr>
      <w:r>
        <w:rPr>
          <w:sz w:val="20"/>
        </w:rPr>
        <w:t>5. Process Square gift cards through the gift-card workflow only, including both the sale of a new card and redemption of an existing balance.</w:t>
      </w:r>
    </w:p>
    <w:p>
      <w:pPr>
        <w:spacing w:after="40"/>
        <w:ind w:left="432"/>
      </w:pPr>
      <w:r>
        <w:rPr>
          <w:sz w:val="20"/>
        </w:rPr>
        <w:t>a. Confirm the card value with the customer before finalizing the sale.</w:t>
      </w:r>
    </w:p>
    <w:p>
      <w:pPr>
        <w:spacing w:after="80"/>
      </w:pPr>
      <w:r>
        <w:rPr>
          <w:sz w:val="20"/>
        </w:rPr>
        <w:t>6. Handle split-tender transactions by entering the first payment amount, confirming the remaining balance, and completing the second payment in the same transaction.</w:t>
      </w:r>
    </w:p>
    <w:p>
      <w:pPr>
        <w:spacing w:after="40"/>
        <w:ind w:left="432"/>
      </w:pPr>
      <w:r>
        <w:rPr>
          <w:sz w:val="20"/>
        </w:rPr>
        <w:t>a. Count back change carefully when one portion of a split-tender sale is cash.</w:t>
      </w:r>
    </w:p>
    <w:p>
      <w:pPr>
        <w:spacing w:after="80"/>
      </w:pPr>
      <w:r>
        <w:rPr>
          <w:sz w:val="20"/>
        </w:rPr>
        <w:t>7. Process voids and returns in Square for Retail only with the correct permission level, and follow SOP-005: Returns, Exchanges, and Refunds SOP for policy eligibility.</w:t>
      </w:r>
    </w:p>
    <w:p>
      <w:pPr>
        <w:spacing w:after="40"/>
        <w:ind w:left="432"/>
      </w:pPr>
      <w:r>
        <w:rPr>
          <w:sz w:val="20"/>
        </w:rPr>
        <w:t>a. Same-day voids require Key Holder or higher approval.</w:t>
      </w:r>
    </w:p>
    <w:p>
      <w:pPr>
        <w:spacing w:after="40"/>
        <w:ind w:left="432"/>
      </w:pPr>
      <w:r>
        <w:rPr>
          <w:sz w:val="20"/>
        </w:rPr>
        <w:t>b. Returns outside the standard policy path require the authorization levels defined in SOP-005.</w:t>
      </w:r>
    </w:p>
    <w:p>
      <w:pPr>
        <w:spacing w:after="80"/>
      </w:pPr>
      <w:r>
        <w:rPr>
          <w:sz w:val="20"/>
        </w:rPr>
        <w:t>8. If a card is declined or another payment fails, remain professional, notify the customer discreetly, and invite them to retry or use another approved payment method.</w:t>
      </w:r>
    </w:p>
    <w:p>
      <w:pPr>
        <w:spacing w:after="40"/>
        <w:ind w:left="432"/>
      </w:pPr>
      <w:r>
        <w:rPr>
          <w:sz w:val="20"/>
        </w:rPr>
        <w:t>a. Do not read full card details aloud or leave the failed payment screen visible longer than needed.</w:t>
      </w:r>
    </w:p>
    <w:p>
      <w:pPr>
        <w:spacing w:after="80"/>
      </w:pPr>
      <w:r>
        <w:rPr>
          <w:sz w:val="20"/>
        </w:rPr>
        <w:t>9. Run the end-of-day report or Z-report process in Square for Retail during closing and coordinate final register closeout with SOP-003: Daily Cash Handling and Reconciliation SOP.</w:t>
      </w:r>
    </w:p>
    <w:p>
      <w:pPr>
        <w:spacing w:after="80"/>
      </w:pPr>
      <w:r>
        <w:rPr>
          <w:sz w:val="20"/>
        </w:rPr>
        <w:t>10. Offer the customer a printed receipt or an emailed receipt for each completed sale unless the transaction type does not support receipt issuance.</w:t>
      </w:r>
    </w:p>
    <w:p>
      <w:pPr>
        <w:spacing w:after="40"/>
        <w:ind w:left="432"/>
      </w:pPr>
      <w:r>
        <w:rPr>
          <w:sz w:val="20"/>
        </w:rPr>
        <w:t>a. Verify the customer's email address before sending a digital receipt.</w:t>
      </w:r>
    </w:p>
    <w:p>
      <w:pPr>
        <w:spacing w:after="80"/>
      </w:pPr>
      <w:r>
        <w:rPr>
          <w:sz w:val="20"/>
        </w:rPr>
        <w:t>11. Escalate customer disputes at the register to a Key Holder, Assistant Manager, or Store Manager when the transaction cannot be resolved through standard policy or approved service recovery.</w:t>
      </w:r>
    </w:p>
    <w:p>
      <w:pPr>
        <w:spacing w:after="40"/>
        <w:ind w:left="432"/>
      </w:pPr>
      <w:r>
        <w:rPr>
          <w:sz w:val="20"/>
        </w:rPr>
        <w:t>a. Stay factual, avoid blame language, and never argue with the customer at the register.</w:t>
      </w:r>
    </w:p>
    <w:p>
      <w:pPr>
        <w:jc w:val="left"/>
      </w:pPr>
      <w:r>
        <w:rPr>
          <w:b/>
          <w:sz w:val="22"/>
        </w:rPr>
        <w:t>6. Related Documents</w:t>
      </w:r>
    </w:p>
    <w:p>
      <w:pPr>
        <w:pStyle w:val="ListBullet"/>
      </w:pPr>
      <w:r>
        <w:t>SOP-003: Daily Cash Handling and Reconciliation SOP</w:t>
      </w:r>
    </w:p>
    <w:p>
      <w:pPr>
        <w:pStyle w:val="ListBullet"/>
      </w:pPr>
      <w:r>
        <w:t>SOP-005: Returns, Exchanges, and Refunds SOP</w:t>
      </w:r>
    </w:p>
    <w:p>
      <w:pPr>
        <w:pStyle w:val="ListBullet"/>
      </w:pPr>
      <w:r>
        <w:t>Employee Handbook — Section 4 - Technology and Social Media Use Policy</w:t>
      </w:r>
    </w:p>
    <w:p>
      <w:pPr>
        <w:jc w:val="left"/>
      </w:pPr>
      <w:r>
        <w:rPr>
          <w:b/>
          <w:sz w:val="22"/>
        </w:rPr>
        <w:t>7.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rPr>
          <w:tblHeader w:val="true"/>
        </w:trPr>
        <w:tc>
          <w:tcPr>
            <w:tcW w:type="dxa" w:w="3312"/>
          </w:tcPr>
          <w:p>
            <w:r/>
            <w:r>
              <w:rPr>
                <w:b/>
                <w:sz w:val="20"/>
              </w:rPr>
              <w:t>Date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Approved By</w:t>
            </w:r>
          </w:p>
        </w:tc>
      </w:tr>
      <w:tr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