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4968"/>
        <w:gridCol w:w="4968"/>
      </w:tblGrid>
      <w:tr>
        <w:tc>
          <w:tcPr>
            <w:tcW w:type="dxa" w:w="4968"/>
          </w:tcPr>
          <w:p>
            <w:r/>
            <w:r>
              <w:rPr>
                <w:b/>
                <w:sz w:val="20"/>
              </w:rPr>
              <w:t>SOP Title</w:t>
            </w:r>
          </w:p>
        </w:tc>
        <w:tc>
          <w:tcPr>
            <w:tcW w:type="dxa" w:w="4968"/>
          </w:tcPr>
          <w:p>
            <w:r/>
            <w:r>
              <w:rPr>
                <w:b w:val="0"/>
                <w:sz w:val="20"/>
              </w:rPr>
              <w:t>Store Opening Procedures SOP</w:t>
            </w:r>
          </w:p>
        </w:tc>
      </w:tr>
      <w:tr>
        <w:tc>
          <w:tcPr>
            <w:tcW w:type="dxa" w:w="4968"/>
          </w:tcPr>
          <w:p>
            <w:r/>
            <w:r>
              <w:rPr>
                <w:b/>
                <w:sz w:val="20"/>
              </w:rPr>
              <w:t>Document Number</w:t>
            </w:r>
          </w:p>
        </w:tc>
        <w:tc>
          <w:tcPr>
            <w:tcW w:type="dxa" w:w="4968"/>
          </w:tcPr>
          <w:p>
            <w:r/>
            <w:r>
              <w:rPr>
                <w:b w:val="0"/>
                <w:sz w:val="20"/>
              </w:rPr>
              <w:t>SOP-001</w:t>
            </w:r>
          </w:p>
        </w:tc>
      </w:tr>
      <w:tr>
        <w:tc>
          <w:tcPr>
            <w:tcW w:type="dxa" w:w="4968"/>
          </w:tcPr>
          <w:p>
            <w:r/>
            <w:r>
              <w:rPr>
                <w:b/>
                <w:sz w:val="20"/>
              </w:rPr>
              <w:t>Effective Date</w:t>
            </w:r>
          </w:p>
        </w:tc>
        <w:tc>
          <w:tcPr>
            <w:tcW w:type="dxa" w:w="4968"/>
          </w:tcPr>
          <w:p>
            <w:r/>
            <w:r>
              <w:rPr>
                <w:b w:val="0"/>
                <w:sz w:val="20"/>
              </w:rPr>
              <w:t>June 1, 2026</w:t>
            </w:r>
          </w:p>
        </w:tc>
      </w:tr>
      <w:tr>
        <w:tc>
          <w:tcPr>
            <w:tcW w:type="dxa" w:w="4968"/>
          </w:tcPr>
          <w:p>
            <w:r/>
            <w:r>
              <w:rPr>
                <w:b/>
                <w:sz w:val="20"/>
              </w:rPr>
              <w:t>Last Revised</w:t>
            </w:r>
          </w:p>
        </w:tc>
        <w:tc>
          <w:tcPr>
            <w:tcW w:type="dxa" w:w="4968"/>
          </w:tcPr>
          <w:p>
            <w:r/>
            <w:r>
              <w:rPr>
                <w:b w:val="0"/>
                <w:sz w:val="20"/>
              </w:rPr>
              <w:t>June 1, 2026</w:t>
            </w:r>
          </w:p>
        </w:tc>
      </w:tr>
      <w:tr>
        <w:tc>
          <w:tcPr>
            <w:tcW w:type="dxa" w:w="4968"/>
          </w:tcPr>
          <w:p>
            <w:r/>
            <w:r>
              <w:rPr>
                <w:b/>
                <w:sz w:val="20"/>
              </w:rPr>
              <w:t>Approved By</w:t>
            </w:r>
          </w:p>
        </w:tc>
        <w:tc>
          <w:tcPr>
            <w:tcW w:type="dxa" w:w="4968"/>
          </w:tcPr>
          <w:p>
            <w:r/>
            <w:r>
              <w:rPr>
                <w:b w:val="0"/>
                <w:sz w:val="20"/>
              </w:rPr>
              <w:t>Store Manager</w:t>
            </w:r>
          </w:p>
        </w:tc>
      </w:tr>
    </w:tbl>
    <w:p>
      <w:pPr>
        <w:jc w:val="left"/>
      </w:pPr>
      <w:r>
        <w:rPr>
          <w:b/>
          <w:sz w:val="22"/>
        </w:rPr>
        <w:t>2. Purpose</w:t>
      </w:r>
    </w:p>
    <w:p>
      <w:r>
        <w:t>This procedure establishes the sequence for opening Otaku Haven each day so the store is secure, staff are ready to serve customers, and sales-floor standards are in place before doors open.</w:t>
      </w:r>
    </w:p>
    <w:p>
      <w:pPr>
        <w:jc w:val="left"/>
      </w:pPr>
      <w:r>
        <w:rPr>
          <w:b/>
          <w:sz w:val="22"/>
        </w:rPr>
        <w:t>3. Scope</w:t>
      </w:r>
    </w:p>
    <w:p>
      <w:r>
        <w:t>This SOP applies to Store Managers, Assistant Managers, Key Holders, and any Sales Associates assigned to opening shifts. It is followed for every business day opening, with the opening team scheduled to arrive 30 minutes before customer-facing store hours unless a manager schedules additional prep time for a reset, delivery, or event.</w:t>
      </w:r>
    </w:p>
    <w:p>
      <w:pPr>
        <w:jc w:val="left"/>
      </w:pPr>
      <w:r>
        <w:rPr>
          <w:b/>
          <w:sz w:val="22"/>
        </w:rPr>
        <w:t>4. Responsibilities</w:t>
      </w:r>
    </w:p>
    <w:tbl>
      <w:tblPr>
        <w:tblStyle w:val="TableGrid"/>
        <w:tblW w:type="auto" w:w="0"/>
        <w:jc w:val="center"/>
        <w:tblLook w:firstColumn="1" w:firstRow="1" w:lastColumn="0" w:lastRow="0" w:noHBand="0" w:noVBand="1" w:val="04A0"/>
      </w:tblPr>
      <w:tblGrid>
        <w:gridCol w:w="4968"/>
        <w:gridCol w:w="4968"/>
      </w:tblGrid>
      <w:tr>
        <w:trPr>
          <w:tblHeader w:val="true"/>
        </w:trPr>
        <w:tc>
          <w:tcPr>
            <w:tcW w:type="dxa" w:w="4968"/>
          </w:tcPr>
          <w:p>
            <w:r/>
            <w:r>
              <w:rPr>
                <w:b/>
                <w:sz w:val="20"/>
              </w:rPr>
              <w:t>Role</w:t>
            </w:r>
          </w:p>
        </w:tc>
        <w:tc>
          <w:tcPr>
            <w:tcW w:type="dxa" w:w="4968"/>
          </w:tcPr>
          <w:p>
            <w:r/>
            <w:r>
              <w:rPr>
                <w:b/>
                <w:sz w:val="20"/>
              </w:rPr>
              <w:t>Responsibility</w:t>
            </w:r>
          </w:p>
        </w:tc>
      </w:tr>
      <w:tr>
        <w:tc>
          <w:tcPr>
            <w:tcW w:type="dxa" w:w="4968"/>
          </w:tcPr>
          <w:p>
            <w:r/>
            <w:r>
              <w:rPr>
                <w:b/>
                <w:sz w:val="20"/>
              </w:rPr>
              <w:t>Store Manager</w:t>
            </w:r>
          </w:p>
        </w:tc>
        <w:tc>
          <w:tcPr>
            <w:tcW w:type="dxa" w:w="4968"/>
          </w:tcPr>
          <w:p>
            <w:r/>
            <w:r>
              <w:rPr>
                <w:b w:val="0"/>
                <w:sz w:val="20"/>
              </w:rPr>
              <w:t>Sets opening expectations, confirms alarm codes, reviews opening issues, and resolves exceptions that affect store readiness.</w:t>
            </w:r>
          </w:p>
        </w:tc>
      </w:tr>
      <w:tr>
        <w:tc>
          <w:tcPr>
            <w:tcW w:type="dxa" w:w="4968"/>
          </w:tcPr>
          <w:p>
            <w:r/>
            <w:r>
              <w:rPr>
                <w:b/>
                <w:sz w:val="20"/>
              </w:rPr>
              <w:t>Assistant Manager</w:t>
            </w:r>
          </w:p>
        </w:tc>
        <w:tc>
          <w:tcPr>
            <w:tcW w:type="dxa" w:w="4968"/>
          </w:tcPr>
          <w:p>
            <w:r/>
            <w:r>
              <w:rPr>
                <w:b w:val="0"/>
                <w:sz w:val="20"/>
              </w:rPr>
              <w:t>Acts as opening leader when assigned, verifies staff timekeeping in Gusto, and confirms POS and sales-floor readiness.</w:t>
            </w:r>
          </w:p>
        </w:tc>
      </w:tr>
      <w:tr>
        <w:tc>
          <w:tcPr>
            <w:tcW w:type="dxa" w:w="4968"/>
          </w:tcPr>
          <w:p>
            <w:r/>
            <w:r>
              <w:rPr>
                <w:b/>
                <w:sz w:val="20"/>
              </w:rPr>
              <w:t>Key Holder</w:t>
            </w:r>
          </w:p>
        </w:tc>
        <w:tc>
          <w:tcPr>
            <w:tcW w:type="dxa" w:w="4968"/>
          </w:tcPr>
          <w:p>
            <w:r/>
            <w:r>
              <w:rPr>
                <w:b w:val="0"/>
                <w:sz w:val="20"/>
              </w:rPr>
              <w:t>Unlocks and disarms the store when designated as opening manager on duty and completes the opening checklist through customer-ready status.</w:t>
            </w:r>
          </w:p>
        </w:tc>
      </w:tr>
      <w:tr>
        <w:tc>
          <w:tcPr>
            <w:tcW w:type="dxa" w:w="4968"/>
          </w:tcPr>
          <w:p>
            <w:r/>
            <w:r>
              <w:rPr>
                <w:b/>
                <w:sz w:val="20"/>
              </w:rPr>
              <w:t>Sales Associate</w:t>
            </w:r>
          </w:p>
        </w:tc>
        <w:tc>
          <w:tcPr>
            <w:tcW w:type="dxa" w:w="4968"/>
          </w:tcPr>
          <w:p>
            <w:r/>
            <w:r>
              <w:rPr>
                <w:b w:val="0"/>
                <w:sz w:val="20"/>
              </w:rPr>
              <w:t>Clocks in through Gusto, supports merchandise recovery, signage checks, and final sales-floor readiness tasks assigned by the opening leader.</w:t>
            </w:r>
          </w:p>
        </w:tc>
      </w:tr>
    </w:tbl>
    <w:p>
      <w:pPr>
        <w:jc w:val="left"/>
      </w:pPr>
      <w:r>
        <w:rPr>
          <w:b/>
          <w:sz w:val="22"/>
        </w:rPr>
        <w:t>5. Procedure</w:t>
      </w:r>
    </w:p>
    <w:p>
      <w:pPr>
        <w:spacing w:after="80"/>
      </w:pPr>
      <w:r>
        <w:rPr>
          <w:sz w:val="20"/>
        </w:rPr>
        <w:t>1. Arrive at the store 30 minutes before the posted opening time, enter using the staff entrance procedure, and clock in through Gusto immediately after entering the building.</w:t>
      </w:r>
    </w:p>
    <w:p>
      <w:pPr>
        <w:spacing w:after="40"/>
        <w:ind w:left="432"/>
      </w:pPr>
      <w:r>
        <w:rPr>
          <w:sz w:val="20"/>
        </w:rPr>
        <w:t>a. If a scheduled employee will be late or misses the opening window, notify the Store Manager or Assistant Manager at once and document the issue in Gusto per the timekeeping policy.</w:t>
      </w:r>
    </w:p>
    <w:p>
      <w:pPr>
        <w:spacing w:after="40"/>
        <w:ind w:left="432"/>
      </w:pPr>
      <w:r>
        <w:rPr>
          <w:sz w:val="20"/>
        </w:rPr>
        <w:t>b. The designated opening leader must be a Key Holder, Assistant Manager, or Store Manager.</w:t>
      </w:r>
    </w:p>
    <w:p>
      <w:pPr>
        <w:spacing w:after="80"/>
      </w:pPr>
      <w:r>
        <w:rPr>
          <w:sz w:val="20"/>
        </w:rPr>
        <w:t>2. Deactivate the alarm promptly and confirm there are no alarm, power, or visible security issues before proceeding farther into the sales floor.</w:t>
      </w:r>
    </w:p>
    <w:p>
      <w:pPr>
        <w:spacing w:after="40"/>
        <w:ind w:left="432"/>
      </w:pPr>
      <w:r>
        <w:rPr>
          <w:sz w:val="20"/>
        </w:rPr>
        <w:t>a. If the alarm does not disarm correctly or any entry issue is observed, stop the opening sequence, secure the front entrance, and contact the Store Manager.</w:t>
      </w:r>
    </w:p>
    <w:p>
      <w:pPr>
        <w:spacing w:after="80"/>
      </w:pPr>
      <w:r>
        <w:rPr>
          <w:sz w:val="20"/>
        </w:rPr>
        <w:t>3. Turn on lights, set HVAC to occupied mode, and power on register-area equipment in a consistent sequence so the sales floor is customer-ready before the doors open.</w:t>
      </w:r>
    </w:p>
    <w:p>
      <w:pPr>
        <w:spacing w:after="40"/>
        <w:ind w:left="432"/>
      </w:pPr>
      <w:r>
        <w:rPr>
          <w:sz w:val="20"/>
        </w:rPr>
        <w:t>a. Confirm overhead lighting, feature lighting, and any display-case lighting are operating.</w:t>
      </w:r>
    </w:p>
    <w:p>
      <w:pPr>
        <w:spacing w:after="40"/>
        <w:ind w:left="432"/>
      </w:pPr>
      <w:r>
        <w:rPr>
          <w:sz w:val="20"/>
        </w:rPr>
        <w:t>b. Verify register peripherals, receipt printer, barcode scanner, and payment hardware are powered on.</w:t>
      </w:r>
    </w:p>
    <w:p>
      <w:pPr>
        <w:spacing w:after="80"/>
      </w:pPr>
      <w:r>
        <w:rPr>
          <w:sz w:val="20"/>
        </w:rPr>
        <w:t>4. Set up the cash drawer according to SOP-003: Daily Cash Handling and Reconciliation SOP before any sales activity begins.</w:t>
      </w:r>
    </w:p>
    <w:p>
      <w:pPr>
        <w:spacing w:after="40"/>
        <w:ind w:left="432"/>
      </w:pPr>
      <w:r>
        <w:rPr>
          <w:sz w:val="20"/>
        </w:rPr>
        <w:t>a. The opening manager counts the starting float, confirms the till amount, and assigns drawer accountability before the register is used.</w:t>
      </w:r>
    </w:p>
    <w:p>
      <w:pPr>
        <w:spacing w:after="40"/>
        <w:ind w:left="432"/>
      </w:pPr>
      <w:r>
        <w:rPr>
          <w:sz w:val="20"/>
        </w:rPr>
        <w:t>b. Any variance identified during setup must be documented immediately on the Cash Variance Log and reported to management per SOP-003.</w:t>
      </w:r>
    </w:p>
    <w:p>
      <w:pPr>
        <w:spacing w:after="80"/>
      </w:pPr>
      <w:r>
        <w:rPr>
          <w:sz w:val="20"/>
        </w:rPr>
        <w:t>5. Start Square for Retail, confirm each employee uses only their own login credentials, and verify that the register is online and able to process transactions.</w:t>
      </w:r>
    </w:p>
    <w:p>
      <w:pPr>
        <w:spacing w:after="40"/>
        <w:ind w:left="432"/>
      </w:pPr>
      <w:r>
        <w:rPr>
          <w:sz w:val="20"/>
        </w:rPr>
        <w:t>a. Do not share POS credentials or allow untrained employees to operate the register without supervision.</w:t>
      </w:r>
    </w:p>
    <w:p>
      <w:pPr>
        <w:spacing w:after="40"/>
        <w:ind w:left="432"/>
      </w:pPr>
      <w:r>
        <w:rPr>
          <w:sz w:val="20"/>
        </w:rPr>
        <w:t>b. If the POS or payment terminal is offline, notify the opening manager and use the technology escalation process before the store opens.</w:t>
      </w:r>
    </w:p>
    <w:p>
      <w:pPr>
        <w:spacing w:after="80"/>
      </w:pPr>
      <w:r>
        <w:rPr>
          <w:sz w:val="20"/>
        </w:rPr>
        <w:t>6. Walk the full sales floor and front zone to confirm merchandise is faced, displays are intact, high-value products are present, and no items appear damaged, missing, or out of place.</w:t>
      </w:r>
    </w:p>
    <w:p>
      <w:pPr>
        <w:spacing w:after="40"/>
        <w:ind w:left="432"/>
      </w:pPr>
      <w:r>
        <w:rPr>
          <w:sz w:val="20"/>
        </w:rPr>
        <w:t>a. Review figures, manga, apparel, accessories, home and lifestyle goods, trading cards, media, and the consignment or local creator section.</w:t>
      </w:r>
    </w:p>
    <w:p>
      <w:pPr>
        <w:spacing w:after="40"/>
        <w:ind w:left="432"/>
      </w:pPr>
      <w:r>
        <w:rPr>
          <w:sz w:val="20"/>
        </w:rPr>
        <w:t>b. Escalate suspected shrink, damage, or display-case issues to the opening manager before opening the doors.</w:t>
      </w:r>
    </w:p>
    <w:p>
      <w:pPr>
        <w:spacing w:after="80"/>
      </w:pPr>
      <w:r>
        <w:rPr>
          <w:sz w:val="20"/>
        </w:rPr>
        <w:t>7. Check all price tags, section labels, new-arrival signs, and promotional displays to confirm they match current merchandising plans and approved offers.</w:t>
      </w:r>
    </w:p>
    <w:p>
      <w:pPr>
        <w:spacing w:after="40"/>
        <w:ind w:left="432"/>
      </w:pPr>
      <w:r>
        <w:rPr>
          <w:sz w:val="20"/>
        </w:rPr>
        <w:t>a. Remove handwritten or outdated signage unless it has current manager approval.</w:t>
      </w:r>
    </w:p>
    <w:p>
      <w:pPr>
        <w:spacing w:after="80"/>
      </w:pPr>
      <w:r>
        <w:rPr>
          <w:sz w:val="20"/>
        </w:rPr>
        <w:t>8. Inspect the customer restroom and any active fitting-room or try-on area, if in use for apparel or cosplay accessories, to confirm cleanliness, safety, and readiness.</w:t>
      </w:r>
    </w:p>
    <w:p>
      <w:pPr>
        <w:spacing w:after="40"/>
        <w:ind w:left="432"/>
      </w:pPr>
      <w:r>
        <w:rPr>
          <w:sz w:val="20"/>
        </w:rPr>
        <w:t>a. If a fitting room or try-on area is not active for the day, note that it was checked and leave it secured.</w:t>
      </w:r>
    </w:p>
    <w:p>
      <w:pPr>
        <w:spacing w:after="80"/>
      </w:pPr>
      <w:r>
        <w:rPr>
          <w:sz w:val="20"/>
        </w:rPr>
        <w:t>9. At the exact opening time, unlock the front door, flip the Open sign, and position at least one employee to greet entering customers immediately.</w:t>
      </w:r>
    </w:p>
    <w:p>
      <w:pPr>
        <w:spacing w:after="40"/>
        <w:ind w:left="432"/>
      </w:pPr>
      <w:r>
        <w:rPr>
          <w:sz w:val="20"/>
        </w:rPr>
        <w:t>a. Monday through Saturday, doors open at 10:00 AM.</w:t>
      </w:r>
    </w:p>
    <w:p>
      <w:pPr>
        <w:spacing w:after="40"/>
        <w:ind w:left="432"/>
      </w:pPr>
      <w:r>
        <w:rPr>
          <w:sz w:val="20"/>
        </w:rPr>
        <w:t>b. Sunday, doors open at 11:00 AM.</w:t>
      </w:r>
    </w:p>
    <w:p>
      <w:pPr>
        <w:spacing w:after="80"/>
      </w:pPr>
      <w:r>
        <w:rPr>
          <w:sz w:val="20"/>
        </w:rPr>
        <w:t>10. Hold a brief opening huddle once the store is customer-ready to review goals, expected deliveries, new releases, promotions, and any service priorities for the shift.</w:t>
      </w:r>
    </w:p>
    <w:p>
      <w:pPr>
        <w:spacing w:after="40"/>
        <w:ind w:left="432"/>
      </w:pPr>
      <w:r>
        <w:rPr>
          <w:sz w:val="20"/>
        </w:rPr>
        <w:t>a. The huddle is a best practice and should not delay opening the door on time.</w:t>
      </w:r>
    </w:p>
    <w:p>
      <w:pPr>
        <w:jc w:val="left"/>
      </w:pPr>
      <w:r>
        <w:rPr>
          <w:b/>
          <w:sz w:val="22"/>
        </w:rPr>
        <w:t>6. Related Documents</w:t>
      </w:r>
    </w:p>
    <w:p>
      <w:pPr>
        <w:pStyle w:val="ListBullet"/>
      </w:pPr>
      <w:r>
        <w:t>SOP-003: Daily Cash Handling and Reconciliation SOP</w:t>
      </w:r>
    </w:p>
    <w:p>
      <w:pPr>
        <w:pStyle w:val="ListBullet"/>
      </w:pPr>
      <w:r>
        <w:t>SOP-004: POS Usage and Transaction Handling SOP</w:t>
      </w:r>
    </w:p>
    <w:p>
      <w:pPr>
        <w:pStyle w:val="ListBullet"/>
      </w:pPr>
      <w:r>
        <w:t>Employee Handbook — Section 2 - Timekeeping and Attendance Policy</w:t>
      </w:r>
    </w:p>
    <w:p>
      <w:pPr>
        <w:pStyle w:val="ListBullet"/>
      </w:pPr>
      <w:r>
        <w:t>Employee Handbook — Section 3 - Scheduling Policy and Procedure</w:t>
      </w:r>
    </w:p>
    <w:p>
      <w:pPr>
        <w:pStyle w:val="ListBullet"/>
      </w:pPr>
      <w:r>
        <w:t>Employee Handbook — Section 4 - Technology and Social Media Use Policy</w:t>
      </w:r>
    </w:p>
    <w:p>
      <w:pPr>
        <w:jc w:val="left"/>
      </w:pPr>
      <w:r>
        <w:rPr>
          <w:b/>
          <w:sz w:val="22"/>
        </w:rPr>
        <w:t>7. Revision History</w:t>
      </w:r>
    </w:p>
    <w:tbl>
      <w:tblPr>
        <w:tblStyle w:val="TableGrid"/>
        <w:tblW w:type="auto" w:w="0"/>
        <w:jc w:val="center"/>
        <w:tblLook w:firstColumn="1" w:firstRow="1" w:lastColumn="0" w:lastRow="0" w:noHBand="0" w:noVBand="1" w:val="04A0"/>
      </w:tblPr>
      <w:tblGrid>
        <w:gridCol w:w="3312"/>
        <w:gridCol w:w="3312"/>
        <w:gridCol w:w="3312"/>
      </w:tblGrid>
      <w:tr>
        <w:trPr>
          <w:tblHeader w:val="true"/>
        </w:trPr>
        <w:tc>
          <w:tcPr>
            <w:tcW w:type="dxa" w:w="3312"/>
          </w:tcPr>
          <w:p>
            <w:r/>
            <w:r>
              <w:rPr>
                <w:b/>
                <w:sz w:val="20"/>
              </w:rPr>
              <w:t>Date</w:t>
            </w:r>
          </w:p>
        </w:tc>
        <w:tc>
          <w:tcPr>
            <w:tcW w:type="dxa" w:w="3312"/>
          </w:tcPr>
          <w:p>
            <w:r/>
            <w:r>
              <w:rPr>
                <w:b/>
                <w:sz w:val="20"/>
              </w:rPr>
              <w:t>Description</w:t>
            </w:r>
          </w:p>
        </w:tc>
        <w:tc>
          <w:tcPr>
            <w:tcW w:type="dxa" w:w="3312"/>
          </w:tcPr>
          <w:p>
            <w:r/>
            <w:r>
              <w:rPr>
                <w:b/>
                <w:sz w:val="20"/>
              </w:rPr>
              <w:t>Approved By</w:t>
            </w:r>
          </w:p>
        </w:tc>
      </w:tr>
      <w:tr>
        <w:tc>
          <w:tcPr>
            <w:tcW w:type="dxa" w:w="3312"/>
          </w:tcPr>
          <w:p>
            <w:r/>
            <w:r>
              <w:rPr>
                <w:b w:val="0"/>
                <w:sz w:val="20"/>
              </w:rPr>
            </w:r>
          </w:p>
        </w:tc>
        <w:tc>
          <w:tcPr>
            <w:tcW w:type="dxa" w:w="3312"/>
          </w:tcPr>
          <w:p>
            <w:r/>
            <w:r>
              <w:rPr>
                <w:b w:val="0"/>
                <w:sz w:val="20"/>
              </w:rPr>
            </w:r>
          </w:p>
        </w:tc>
        <w:tc>
          <w:tcPr>
            <w:tcW w:type="dxa" w:w="3312"/>
          </w:tcPr>
          <w:p>
            <w:r/>
            <w:r>
              <w:rPr>
                <w:b w:val="0"/>
                <w:sz w:val="20"/>
              </w:rPr>
            </w:r>
          </w:p>
        </w:tc>
      </w:tr>
    </w:tbl>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