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Title"/>
      </w:pPr>
      <w:r>
        <w:t xml:space="preserve">Risk Assessment</w:t>
      </w:r>
    </w:p>
    <w:p>
      <w:pPr>
        <w:pStyle w:val="Normal"/>
      </w:pPr>
      <w:r>
        <w:t xml:space="preserve">Otaku Haven's risk profile is typical of a specialty retail launch in that the largest exposures sit in revenue ramp, inventory discipline, and execution consistency rather than in technological complexity. The business is strengthened by a defined concept, a funded startup budget, and a clear local positioning, but it still depends on disciplined buying, brand-safe sourcing, and active community marketing to move from launch losses to a sustainable operating cadence.</w:t>
      </w:r>
    </w:p>
    <w:p>
      <w:pPr>
        <w:pStyle w:val="Heading1"/>
      </w:pPr>
      <w:r>
        <w:t xml:space="preserve">Category 1 - Market Risks</w:t>
      </w:r>
    </w:p>
    <w:tbl>
      <w:tblPr>
        <w:tblW w:w="0" w:type="auto"/>
        <w:tbl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  <w:insideH w:val="single" w:sz="6" w:space="0" w:color="888888"/>
          <w:insideV w:val="single" w:sz="6" w:space="0" w:color="888888"/>
        </w:tblBorders>
      </w:tblPr>
      <w:tr>
        <w:tc>
          <w:tcPr>
            <w:shd w:val="clear" w:color="auto" w:fill="E9ECEF"/>
          </w:tcPr>
          <w:p>
            <w:pPr>
              <w:pStyle w:val="TableHeader"/>
            </w:pPr>
            <w:r>
              <w:t xml:space="preserve">Risk</w:t>
            </w:r>
          </w:p>
        </w:tc>
        <w:tc>
          <w:tcPr>
            <w:shd w:val="clear" w:color="auto" w:fill="E9ECEF"/>
          </w:tcPr>
          <w:p>
            <w:pPr>
              <w:pStyle w:val="TableHeader"/>
            </w:pPr>
            <w:r>
              <w:t xml:space="preserve">Description</w:t>
            </w:r>
          </w:p>
        </w:tc>
        <w:tc>
          <w:tcPr>
            <w:shd w:val="clear" w:color="auto" w:fill="E9ECEF"/>
          </w:tcPr>
          <w:p>
            <w:pPr>
              <w:pStyle w:val="TableHeader"/>
            </w:pPr>
            <w:r>
              <w:t xml:space="preserve">Likelihood</w:t>
            </w:r>
          </w:p>
        </w:tc>
        <w:tc>
          <w:tcPr>
            <w:shd w:val="clear" w:color="auto" w:fill="E9ECEF"/>
          </w:tcPr>
          <w:p>
            <w:pPr>
              <w:pStyle w:val="TableHeader"/>
            </w:pPr>
            <w:r>
              <w:t xml:space="preserve">Impact</w:t>
            </w:r>
          </w:p>
        </w:tc>
        <w:tc>
          <w:tcPr>
            <w:shd w:val="clear" w:color="auto" w:fill="E9ECEF"/>
          </w:tcPr>
          <w:p>
            <w:pPr>
              <w:pStyle w:val="TableHeader"/>
            </w:pPr>
            <w:r>
              <w:t xml:space="preserve">Mitigation Strategy</w:t>
            </w:r>
          </w:p>
        </w:tc>
      </w:tr>
      <w:tr>
        <w:tc>
          <w:tcPr/>
          <w:p>
            <w:pPr>
              <w:pStyle w:val="TableText"/>
            </w:pPr>
            <w:r>
              <w:t xml:space="preserve">Competition from online-only anime retailers</w:t>
            </w:r>
          </w:p>
        </w:tc>
        <w:tc>
          <w:tcPr/>
          <w:p>
            <w:pPr>
              <w:pStyle w:val="TableText"/>
            </w:pPr>
            <w:r>
              <w:t xml:space="preserve">Crunchyroll Store and Amazon can undercut pricing, offer broader catalog depth, and compress margins on common SKUs.</w:t>
            </w:r>
          </w:p>
        </w:tc>
        <w:tc>
          <w:tcPr/>
          <w:p>
            <w:pPr>
              <w:pStyle w:val="TableText"/>
            </w:pPr>
            <w:r>
              <w:t xml:space="preserve">High</w:t>
            </w:r>
          </w:p>
        </w:tc>
        <w:tc>
          <w:tcPr/>
          <w:p>
            <w:pPr>
              <w:pStyle w:val="TableText"/>
            </w:pPr>
            <w:r>
              <w:t xml:space="preserve">High</w:t>
            </w:r>
          </w:p>
        </w:tc>
        <w:tc>
          <w:tcPr/>
          <w:p>
            <w:pPr>
              <w:pStyle w:val="TableText"/>
            </w:pPr>
            <w:r>
              <w:t xml:space="preserve">Emphasize curated assortments, immediate pickup, event exclusives, staff recommendations, and community experiences that online-only competitors cannot replicate.</w:t>
            </w:r>
          </w:p>
        </w:tc>
      </w:tr>
      <w:tr>
        <w:tc>
          <w:tcPr/>
          <w:p>
            <w:pPr>
              <w:pStyle w:val="TableText"/>
            </w:pPr>
            <w:r>
              <w:t xml:space="preserve">Shift toward streaming reducing demand for physical media or merchandise</w:t>
            </w:r>
          </w:p>
        </w:tc>
        <w:tc>
          <w:tcPr/>
          <w:p>
            <w:pPr>
              <w:pStyle w:val="TableText"/>
            </w:pPr>
            <w:r>
              <w:t xml:space="preserve">If fandom spending concentrates only on digital consumption, slower-moving physical categories could soften.</w:t>
            </w:r>
          </w:p>
        </w:tc>
        <w:tc>
          <w:tcPr/>
          <w:p>
            <w:pPr>
              <w:pStyle w:val="TableText"/>
            </w:pPr>
            <w:r>
              <w:t xml:space="preserve">Medium</w:t>
            </w:r>
          </w:p>
        </w:tc>
        <w:tc>
          <w:tcPr/>
          <w:p>
            <w:pPr>
              <w:pStyle w:val="TableText"/>
            </w:pPr>
            <w:r>
              <w:t xml:space="preserve">Medium</w:t>
            </w:r>
          </w:p>
        </w:tc>
        <w:tc>
          <w:tcPr/>
          <w:p>
            <w:pPr>
              <w:pStyle w:val="TableText"/>
            </w:pPr>
            <w:r>
              <w:t xml:space="preserve">Keep Media intentionally narrow, rebalance floor space toward figures, trading cards, manga, and gifting categories, and use Square sell-through data to adjust orders quickly.</w:t>
            </w:r>
          </w:p>
        </w:tc>
      </w:tr>
      <w:tr>
        <w:tc>
          <w:tcPr/>
          <w:p>
            <w:pPr>
              <w:pStyle w:val="TableText"/>
            </w:pPr>
            <w:r>
              <w:t xml:space="preserve">Economic downturn reducing discretionary spend</w:t>
            </w:r>
          </w:p>
        </w:tc>
        <w:tc>
          <w:tcPr/>
          <w:p>
            <w:pPr>
              <w:pStyle w:val="TableText"/>
            </w:pPr>
            <w:r>
              <w:t xml:space="preserve">Specialty anime purchases are discretionary and could slow during a consumer pullback.</w:t>
            </w:r>
          </w:p>
        </w:tc>
        <w:tc>
          <w:tcPr/>
          <w:p>
            <w:pPr>
              <w:pStyle w:val="TableText"/>
            </w:pPr>
            <w:r>
              <w:t xml:space="preserve">Medium</w:t>
            </w:r>
          </w:p>
        </w:tc>
        <w:tc>
          <w:tcPr/>
          <w:p>
            <w:pPr>
              <w:pStyle w:val="TableText"/>
            </w:pPr>
            <w:r>
              <w:t xml:space="preserve">High</w:t>
            </w:r>
          </w:p>
        </w:tc>
        <w:tc>
          <w:tcPr/>
          <w:p>
            <w:pPr>
              <w:pStyle w:val="TableText"/>
            </w:pPr>
            <w:r>
              <w:t xml:space="preserve">Preserve a tiered assortment with entry-price manga, accessories, and giftable items so Otaku Haven can retain wallet share even when collectors pause larger purchases.</w:t>
            </w:r>
          </w:p>
        </w:tc>
      </w:tr>
    </w:tbl>
    <w:p>
      <w:pPr>
        <w:pStyle w:val="Heading1"/>
      </w:pPr>
      <w:r>
        <w:t xml:space="preserve">Category 2 - Operational Risks</w:t>
      </w:r>
    </w:p>
    <w:tbl>
      <w:tblPr>
        <w:tblW w:w="0" w:type="auto"/>
        <w:tbl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  <w:insideH w:val="single" w:sz="6" w:space="0" w:color="888888"/>
          <w:insideV w:val="single" w:sz="6" w:space="0" w:color="888888"/>
        </w:tblBorders>
      </w:tblPr>
      <w:tr>
        <w:tc>
          <w:tcPr>
            <w:shd w:val="clear" w:color="auto" w:fill="E9ECEF"/>
          </w:tcPr>
          <w:p>
            <w:pPr>
              <w:pStyle w:val="TableHeader"/>
            </w:pPr>
            <w:r>
              <w:t xml:space="preserve">Risk</w:t>
            </w:r>
          </w:p>
        </w:tc>
        <w:tc>
          <w:tcPr>
            <w:shd w:val="clear" w:color="auto" w:fill="E9ECEF"/>
          </w:tcPr>
          <w:p>
            <w:pPr>
              <w:pStyle w:val="TableHeader"/>
            </w:pPr>
            <w:r>
              <w:t xml:space="preserve">Description</w:t>
            </w:r>
          </w:p>
        </w:tc>
        <w:tc>
          <w:tcPr>
            <w:shd w:val="clear" w:color="auto" w:fill="E9ECEF"/>
          </w:tcPr>
          <w:p>
            <w:pPr>
              <w:pStyle w:val="TableHeader"/>
            </w:pPr>
            <w:r>
              <w:t xml:space="preserve">Likelihood</w:t>
            </w:r>
          </w:p>
        </w:tc>
        <w:tc>
          <w:tcPr>
            <w:shd w:val="clear" w:color="auto" w:fill="E9ECEF"/>
          </w:tcPr>
          <w:p>
            <w:pPr>
              <w:pStyle w:val="TableHeader"/>
            </w:pPr>
            <w:r>
              <w:t xml:space="preserve">Impact</w:t>
            </w:r>
          </w:p>
        </w:tc>
        <w:tc>
          <w:tcPr>
            <w:shd w:val="clear" w:color="auto" w:fill="E9ECEF"/>
          </w:tcPr>
          <w:p>
            <w:pPr>
              <w:pStyle w:val="TableHeader"/>
            </w:pPr>
            <w:r>
              <w:t xml:space="preserve">Mitigation Strategy</w:t>
            </w:r>
          </w:p>
        </w:tc>
      </w:tr>
      <w:tr>
        <w:tc>
          <w:tcPr/>
          <w:p>
            <w:pPr>
              <w:pStyle w:val="TableText"/>
            </w:pPr>
            <w:r>
              <w:t xml:space="preserve">Inventory imbalance</w:t>
            </w:r>
          </w:p>
        </w:tc>
        <w:tc>
          <w:tcPr/>
          <w:p>
            <w:pPr>
              <w:pStyle w:val="TableText"/>
            </w:pPr>
            <w:r>
              <w:t xml:space="preserve">Slow-moving collectibles can tie up cash while high-demand releases sell out before reorder windows close.</w:t>
            </w:r>
          </w:p>
        </w:tc>
        <w:tc>
          <w:tcPr/>
          <w:p>
            <w:pPr>
              <w:pStyle w:val="TableText"/>
            </w:pPr>
            <w:r>
              <w:t xml:space="preserve">High</w:t>
            </w:r>
          </w:p>
        </w:tc>
        <w:tc>
          <w:tcPr/>
          <w:p>
            <w:pPr>
              <w:pStyle w:val="TableText"/>
            </w:pPr>
            <w:r>
              <w:t xml:space="preserve">High</w:t>
            </w:r>
          </w:p>
        </w:tc>
        <w:tc>
          <w:tcPr/>
          <w:p>
            <w:pPr>
              <w:pStyle w:val="TableText"/>
            </w:pPr>
            <w:r>
              <w:t xml:space="preserve">Use Square for Retail reorder points by category, limit first buys on unproven SKUs, and reserve deeper buys for proven figures, manga, and trading card demand.</w:t>
            </w:r>
          </w:p>
        </w:tc>
      </w:tr>
      <w:tr>
        <w:tc>
          <w:tcPr/>
          <w:p>
            <w:pPr>
              <w:pStyle w:val="TableText"/>
            </w:pPr>
            <w:r>
              <w:t xml:space="preserve">Shrink and theft</w:t>
            </w:r>
          </w:p>
        </w:tc>
        <w:tc>
          <w:tcPr/>
          <w:p>
            <w:pPr>
              <w:pStyle w:val="TableText"/>
            </w:pPr>
            <w:r>
              <w:t xml:space="preserve">High-value figures, trading cards, and sealed collectibles are attractive theft targets.</w:t>
            </w:r>
          </w:p>
        </w:tc>
        <w:tc>
          <w:tcPr/>
          <w:p>
            <w:pPr>
              <w:pStyle w:val="TableText"/>
            </w:pPr>
            <w:r>
              <w:t xml:space="preserve">High</w:t>
            </w:r>
          </w:p>
        </w:tc>
        <w:tc>
          <w:tcPr/>
          <w:p>
            <w:pPr>
              <w:pStyle w:val="TableText"/>
            </w:pPr>
            <w:r>
              <w:t xml:space="preserve">High</w:t>
            </w:r>
          </w:p>
        </w:tc>
        <w:tc>
          <w:tcPr/>
          <w:p>
            <w:pPr>
              <w:pStyle w:val="TableText"/>
            </w:pPr>
            <w:r>
              <w:t xml:space="preserve">Use locked display cases for premium items, keep sealed trading cards in controlled sightlines, perform weekly cycle counts, and review camera footage around variance events.</w:t>
            </w:r>
          </w:p>
        </w:tc>
      </w:tr>
      <w:tr>
        <w:tc>
          <w:tcPr/>
          <w:p>
            <w:pPr>
              <w:pStyle w:val="TableText"/>
            </w:pPr>
            <w:r>
              <w:t xml:space="preserve">Staffing quality and fandom literacy</w:t>
            </w:r>
          </w:p>
        </w:tc>
        <w:tc>
          <w:tcPr/>
          <w:p>
            <w:pPr>
              <w:pStyle w:val="TableText"/>
            </w:pPr>
            <w:r>
              <w:t xml:space="preserve">Hiring retail staff without product knowledge can weaken conversion and customer trust.</w:t>
            </w:r>
          </w:p>
        </w:tc>
        <w:tc>
          <w:tcPr/>
          <w:p>
            <w:pPr>
              <w:pStyle w:val="TableText"/>
            </w:pPr>
            <w:r>
              <w:t xml:space="preserve">Medium</w:t>
            </w:r>
          </w:p>
        </w:tc>
        <w:tc>
          <w:tcPr/>
          <w:p>
            <w:pPr>
              <w:pStyle w:val="TableText"/>
            </w:pPr>
            <w:r>
              <w:t xml:space="preserve">Medium</w:t>
            </w:r>
          </w:p>
        </w:tc>
        <w:tc>
          <w:tcPr/>
          <w:p>
            <w:pPr>
              <w:pStyle w:val="TableText"/>
            </w:pPr>
            <w:r>
              <w:t xml:space="preserve">Recruit from Austin fandom communities, test product fluency during hiring, and train staff around category knowledge, release calendars, and collector-service expectations.</w:t>
            </w:r>
          </w:p>
        </w:tc>
      </w:tr>
    </w:tbl>
    <w:p>
      <w:pPr>
        <w:pStyle w:val="Heading1"/>
      </w:pPr>
      <w:r>
        <w:t xml:space="preserve">Category 3 - Financial Risks</w:t>
      </w:r>
    </w:p>
    <w:tbl>
      <w:tblPr>
        <w:tblW w:w="0" w:type="auto"/>
        <w:tbl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  <w:insideH w:val="single" w:sz="6" w:space="0" w:color="888888"/>
          <w:insideV w:val="single" w:sz="6" w:space="0" w:color="888888"/>
        </w:tblBorders>
      </w:tblPr>
      <w:tr>
        <w:tc>
          <w:tcPr>
            <w:shd w:val="clear" w:color="auto" w:fill="E9ECEF"/>
          </w:tcPr>
          <w:p>
            <w:pPr>
              <w:pStyle w:val="TableHeader"/>
            </w:pPr>
            <w:r>
              <w:t xml:space="preserve">Risk</w:t>
            </w:r>
          </w:p>
        </w:tc>
        <w:tc>
          <w:tcPr>
            <w:shd w:val="clear" w:color="auto" w:fill="E9ECEF"/>
          </w:tcPr>
          <w:p>
            <w:pPr>
              <w:pStyle w:val="TableHeader"/>
            </w:pPr>
            <w:r>
              <w:t xml:space="preserve">Description</w:t>
            </w:r>
          </w:p>
        </w:tc>
        <w:tc>
          <w:tcPr>
            <w:shd w:val="clear" w:color="auto" w:fill="E9ECEF"/>
          </w:tcPr>
          <w:p>
            <w:pPr>
              <w:pStyle w:val="TableHeader"/>
            </w:pPr>
            <w:r>
              <w:t xml:space="preserve">Likelihood</w:t>
            </w:r>
          </w:p>
        </w:tc>
        <w:tc>
          <w:tcPr>
            <w:shd w:val="clear" w:color="auto" w:fill="E9ECEF"/>
          </w:tcPr>
          <w:p>
            <w:pPr>
              <w:pStyle w:val="TableHeader"/>
            </w:pPr>
            <w:r>
              <w:t xml:space="preserve">Impact</w:t>
            </w:r>
          </w:p>
        </w:tc>
        <w:tc>
          <w:tcPr>
            <w:shd w:val="clear" w:color="auto" w:fill="E9ECEF"/>
          </w:tcPr>
          <w:p>
            <w:pPr>
              <w:pStyle w:val="TableHeader"/>
            </w:pPr>
            <w:r>
              <w:t xml:space="preserve">Mitigation Strategy</w:t>
            </w:r>
          </w:p>
        </w:tc>
      </w:tr>
      <w:tr>
        <w:tc>
          <w:tcPr/>
          <w:p>
            <w:pPr>
              <w:pStyle w:val="TableText"/>
            </w:pPr>
            <w:r>
              <w:t xml:space="preserve">Cash flow shortfall during the pre-profitability period</w:t>
            </w:r>
          </w:p>
        </w:tc>
        <w:tc>
          <w:tcPr/>
          <w:p>
            <w:pPr>
              <w:pStyle w:val="TableText"/>
            </w:pPr>
            <w:r>
              <w:t xml:space="preserve">The model shows negative operating income through the first ten operating months of the break-even ramp.</w:t>
            </w:r>
          </w:p>
        </w:tc>
        <w:tc>
          <w:tcPr/>
          <w:p>
            <w:pPr>
              <w:pStyle w:val="TableText"/>
            </w:pPr>
            <w:r>
              <w:t xml:space="preserve">High</w:t>
            </w:r>
          </w:p>
        </w:tc>
        <w:tc>
          <w:tcPr/>
          <w:p>
            <w:pPr>
              <w:pStyle w:val="TableText"/>
            </w:pPr>
            <w:r>
              <w:t xml:space="preserve">High</w:t>
            </w:r>
          </w:p>
        </w:tc>
        <w:tc>
          <w:tcPr/>
          <w:p>
            <w:pPr>
              <w:pStyle w:val="TableText"/>
            </w:pPr>
            <w:r>
              <w:t xml:space="preserve">Protect the working capital reserve, hold non-essential discretionary spending, and compare monthly revenue and expense results to the Financial Model before expanding open-to-buy commitments.</w:t>
            </w:r>
          </w:p>
        </w:tc>
      </w:tr>
      <w:tr>
        <w:tc>
          <w:tcPr/>
          <w:p>
            <w:pPr>
              <w:pStyle w:val="TableText"/>
            </w:pPr>
            <w:r>
              <w:t xml:space="preserve">Break-even slippage beyond Month 14</w:t>
            </w:r>
          </w:p>
        </w:tc>
        <w:tc>
          <w:tcPr/>
          <w:p>
            <w:pPr>
              <w:pStyle w:val="TableText"/>
            </w:pPr>
            <w:r>
              <w:t xml:space="preserve">If sales ramp more slowly than projected, the first positive operating month could move past the modeled break-even point.</w:t>
            </w:r>
          </w:p>
        </w:tc>
        <w:tc>
          <w:tcPr/>
          <w:p>
            <w:pPr>
              <w:pStyle w:val="TableText"/>
            </w:pPr>
            <w:r>
              <w:t xml:space="preserve">Medium</w:t>
            </w:r>
          </w:p>
        </w:tc>
        <w:tc>
          <w:tcPr/>
          <w:p>
            <w:pPr>
              <w:pStyle w:val="TableText"/>
            </w:pPr>
            <w:r>
              <w:t xml:space="preserve">High</w:t>
            </w:r>
          </w:p>
        </w:tc>
        <w:tc>
          <w:tcPr/>
          <w:p>
            <w:pPr>
              <w:pStyle w:val="TableText"/>
            </w:pPr>
            <w:r>
              <w:t xml:space="preserve">Monitor actual revenue against the break-even threshold of $54,733.23 each month and cut open-to-buy, paid promotion, and event spending selectively if the gap widens.</w:t>
            </w:r>
          </w:p>
        </w:tc>
      </w:tr>
      <w:tr>
        <w:tc>
          <w:tcPr/>
          <w:p>
            <w:pPr>
              <w:pStyle w:val="TableText"/>
            </w:pPr>
            <w:r>
              <w:t xml:space="preserve">Unexpected capital expenditure</w:t>
            </w:r>
          </w:p>
        </w:tc>
        <w:tc>
          <w:tcPr/>
          <w:p>
            <w:pPr>
              <w:pStyle w:val="TableText"/>
            </w:pPr>
            <w:r>
              <w:t xml:space="preserve">Buildout overruns or equipment replacement could consume liquidity that is intended for inventory and operations.</w:t>
            </w:r>
          </w:p>
        </w:tc>
        <w:tc>
          <w:tcPr/>
          <w:p>
            <w:pPr>
              <w:pStyle w:val="TableText"/>
            </w:pPr>
            <w:r>
              <w:t xml:space="preserve">Medium</w:t>
            </w:r>
          </w:p>
        </w:tc>
        <w:tc>
          <w:tcPr/>
          <w:p>
            <w:pPr>
              <w:pStyle w:val="TableText"/>
            </w:pPr>
            <w:r>
              <w:t xml:space="preserve">Medium</w:t>
            </w:r>
          </w:p>
        </w:tc>
        <w:tc>
          <w:tcPr/>
          <w:p>
            <w:pPr>
              <w:pStyle w:val="TableText"/>
            </w:pPr>
            <w:r>
              <w:t xml:space="preserve">Require owner approval for unplanned capex, preserve the working capital reserve for true operating protection, and stage non-critical fixture upgrades after cash flow stabilizes.</w:t>
            </w:r>
          </w:p>
        </w:tc>
      </w:tr>
    </w:tbl>
    <w:p>
      <w:pPr>
        <w:pStyle w:val="Heading1"/>
      </w:pPr>
      <w:r>
        <w:t xml:space="preserve">Category 4 - IP and Legal Risks</w:t>
      </w:r>
    </w:p>
    <w:tbl>
      <w:tblPr>
        <w:tblW w:w="0" w:type="auto"/>
        <w:tbl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  <w:insideH w:val="single" w:sz="6" w:space="0" w:color="888888"/>
          <w:insideV w:val="single" w:sz="6" w:space="0" w:color="888888"/>
        </w:tblBorders>
      </w:tblPr>
      <w:tr>
        <w:tc>
          <w:tcPr>
            <w:shd w:val="clear" w:color="auto" w:fill="E9ECEF"/>
          </w:tcPr>
          <w:p>
            <w:pPr>
              <w:pStyle w:val="TableHeader"/>
            </w:pPr>
            <w:r>
              <w:t xml:space="preserve">Risk</w:t>
            </w:r>
          </w:p>
        </w:tc>
        <w:tc>
          <w:tcPr>
            <w:shd w:val="clear" w:color="auto" w:fill="E9ECEF"/>
          </w:tcPr>
          <w:p>
            <w:pPr>
              <w:pStyle w:val="TableHeader"/>
            </w:pPr>
            <w:r>
              <w:t xml:space="preserve">Description</w:t>
            </w:r>
          </w:p>
        </w:tc>
        <w:tc>
          <w:tcPr>
            <w:shd w:val="clear" w:color="auto" w:fill="E9ECEF"/>
          </w:tcPr>
          <w:p>
            <w:pPr>
              <w:pStyle w:val="TableHeader"/>
            </w:pPr>
            <w:r>
              <w:t xml:space="preserve">Likelihood</w:t>
            </w:r>
          </w:p>
        </w:tc>
        <w:tc>
          <w:tcPr>
            <w:shd w:val="clear" w:color="auto" w:fill="E9ECEF"/>
          </w:tcPr>
          <w:p>
            <w:pPr>
              <w:pStyle w:val="TableHeader"/>
            </w:pPr>
            <w:r>
              <w:t xml:space="preserve">Impact</w:t>
            </w:r>
          </w:p>
        </w:tc>
        <w:tc>
          <w:tcPr>
            <w:shd w:val="clear" w:color="auto" w:fill="E9ECEF"/>
          </w:tcPr>
          <w:p>
            <w:pPr>
              <w:pStyle w:val="TableHeader"/>
            </w:pPr>
            <w:r>
              <w:t xml:space="preserve">Mitigation Strategy</w:t>
            </w:r>
          </w:p>
        </w:tc>
      </w:tr>
      <w:tr>
        <w:tc>
          <w:tcPr/>
          <w:p>
            <w:pPr>
              <w:pStyle w:val="TableText"/>
            </w:pPr>
            <w:r>
              <w:t xml:space="preserve">Unlicensed or bootleg merchandise</w:t>
            </w:r>
          </w:p>
        </w:tc>
        <w:tc>
          <w:tcPr/>
          <w:p>
            <w:pPr>
              <w:pStyle w:val="TableText"/>
            </w:pPr>
            <w:r>
              <w:t xml:space="preserve">Buying unofficial figures, prints, or imports could trigger IP enforcement action and brand damage.</w:t>
            </w:r>
          </w:p>
        </w:tc>
        <w:tc>
          <w:tcPr/>
          <w:p>
            <w:pPr>
              <w:pStyle w:val="TableText"/>
            </w:pPr>
            <w:r>
              <w:t xml:space="preserve">Medium</w:t>
            </w:r>
          </w:p>
        </w:tc>
        <w:tc>
          <w:tcPr/>
          <w:p>
            <w:pPr>
              <w:pStyle w:val="TableText"/>
            </w:pPr>
            <w:r>
              <w:t xml:space="preserve">High</w:t>
            </w:r>
          </w:p>
        </w:tc>
        <w:tc>
          <w:tcPr/>
          <w:p>
            <w:pPr>
              <w:pStyle w:val="TableText"/>
            </w:pPr>
            <w:r>
              <w:t xml:space="preserve">Source inventory only from vetted distributors and documented supplier channels, especially for figures, prints, and consignment items, and maintain intake records for all local creator merchandise.</w:t>
            </w:r>
          </w:p>
        </w:tc>
      </w:tr>
      <w:tr>
        <w:tc>
          <w:tcPr/>
          <w:p>
            <w:pPr>
              <w:pStyle w:val="TableText"/>
            </w:pPr>
            <w:r>
              <w:t xml:space="preserve">Texas LLC compliance failure</w:t>
            </w:r>
          </w:p>
        </w:tc>
        <w:tc>
          <w:tcPr/>
          <w:p>
            <w:pPr>
              <w:pStyle w:val="TableText"/>
            </w:pPr>
            <w:r>
              <w:t xml:space="preserve">Missing franchise tax or public information filings could create penalties or administrative problems.</w:t>
            </w:r>
          </w:p>
        </w:tc>
        <w:tc>
          <w:tcPr/>
          <w:p>
            <w:pPr>
              <w:pStyle w:val="TableText"/>
            </w:pPr>
            <w:r>
              <w:t xml:space="preserve">Low</w:t>
            </w:r>
          </w:p>
        </w:tc>
        <w:tc>
          <w:tcPr/>
          <w:p>
            <w:pPr>
              <w:pStyle w:val="TableText"/>
            </w:pPr>
            <w:r>
              <w:t xml:space="preserve">Medium</w:t>
            </w:r>
          </w:p>
        </w:tc>
        <w:tc>
          <w:tcPr/>
          <w:p>
            <w:pPr>
              <w:pStyle w:val="TableText"/>
            </w:pPr>
            <w:r>
              <w:t xml:space="preserve">Assign compliance ownership to management, maintain an annual filing calendar, and keep legal, accounting, and registered-agent records centralized under the Otaku Haven LLC entity.</w:t>
            </w:r>
          </w:p>
        </w:tc>
      </w:tr>
    </w:tbl>
    <w:p>
      <w:pPr>
        <w:pStyle w:val="Heading1"/>
      </w:pPr>
      <w:r>
        <w:t xml:space="preserve">Category 5 - Location Risks</w:t>
      </w:r>
    </w:p>
    <w:tbl>
      <w:tblPr>
        <w:tblW w:w="0" w:type="auto"/>
        <w:tbl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  <w:insideH w:val="single" w:sz="6" w:space="0" w:color="888888"/>
          <w:insideV w:val="single" w:sz="6" w:space="0" w:color="888888"/>
        </w:tblBorders>
      </w:tblPr>
      <w:tr>
        <w:tc>
          <w:tcPr>
            <w:shd w:val="clear" w:color="auto" w:fill="E9ECEF"/>
          </w:tcPr>
          <w:p>
            <w:pPr>
              <w:pStyle w:val="TableHeader"/>
            </w:pPr>
            <w:r>
              <w:t xml:space="preserve">Risk</w:t>
            </w:r>
          </w:p>
        </w:tc>
        <w:tc>
          <w:tcPr>
            <w:shd w:val="clear" w:color="auto" w:fill="E9ECEF"/>
          </w:tcPr>
          <w:p>
            <w:pPr>
              <w:pStyle w:val="TableHeader"/>
            </w:pPr>
            <w:r>
              <w:t xml:space="preserve">Description</w:t>
            </w:r>
          </w:p>
        </w:tc>
        <w:tc>
          <w:tcPr>
            <w:shd w:val="clear" w:color="auto" w:fill="E9ECEF"/>
          </w:tcPr>
          <w:p>
            <w:pPr>
              <w:pStyle w:val="TableHeader"/>
            </w:pPr>
            <w:r>
              <w:t xml:space="preserve">Likelihood</w:t>
            </w:r>
          </w:p>
        </w:tc>
        <w:tc>
          <w:tcPr>
            <w:shd w:val="clear" w:color="auto" w:fill="E9ECEF"/>
          </w:tcPr>
          <w:p>
            <w:pPr>
              <w:pStyle w:val="TableHeader"/>
            </w:pPr>
            <w:r>
              <w:t xml:space="preserve">Impact</w:t>
            </w:r>
          </w:p>
        </w:tc>
        <w:tc>
          <w:tcPr>
            <w:shd w:val="clear" w:color="auto" w:fill="E9ECEF"/>
          </w:tcPr>
          <w:p>
            <w:pPr>
              <w:pStyle w:val="TableHeader"/>
            </w:pPr>
            <w:r>
              <w:t xml:space="preserve">Mitigation Strategy</w:t>
            </w:r>
          </w:p>
        </w:tc>
      </w:tr>
      <w:tr>
        <w:tc>
          <w:tcPr/>
          <w:p>
            <w:pPr>
              <w:pStyle w:val="TableText"/>
            </w:pPr>
            <w:r>
              <w:t xml:space="preserve">Foot traffic variability on South Lamar</w:t>
            </w:r>
          </w:p>
        </w:tc>
        <w:tc>
          <w:tcPr/>
          <w:p>
            <w:pPr>
              <w:pStyle w:val="TableText"/>
            </w:pPr>
            <w:r>
              <w:t xml:space="preserve">Seasonality, road work, or neighborhood changes could lower walk-in volume at key times.</w:t>
            </w:r>
          </w:p>
        </w:tc>
        <w:tc>
          <w:tcPr/>
          <w:p>
            <w:pPr>
              <w:pStyle w:val="TableText"/>
            </w:pPr>
            <w:r>
              <w:t xml:space="preserve">Medium</w:t>
            </w:r>
          </w:p>
        </w:tc>
        <w:tc>
          <w:tcPr/>
          <w:p>
            <w:pPr>
              <w:pStyle w:val="TableText"/>
            </w:pPr>
            <w:r>
              <w:t xml:space="preserve">Medium</w:t>
            </w:r>
          </w:p>
        </w:tc>
        <w:tc>
          <w:tcPr/>
          <w:p>
            <w:pPr>
              <w:pStyle w:val="TableText"/>
            </w:pPr>
            <w:r>
              <w:t xml:space="preserve">Offset street-traffic volatility with event programming, email capture, Discord community management, and local partnership campaigns that drive intentional visits instead of relying only on passersby.</w:t>
            </w:r>
          </w:p>
        </w:tc>
      </w:tr>
      <w:tr>
        <w:tc>
          <w:tcPr/>
          <w:p>
            <w:pPr>
              <w:pStyle w:val="TableText"/>
            </w:pPr>
            <w:r>
              <w:t xml:space="preserve">NNN lease cost pressure</w:t>
            </w:r>
          </w:p>
        </w:tc>
        <w:tc>
          <w:tcPr/>
          <w:p>
            <w:pPr>
              <w:pStyle w:val="TableText"/>
            </w:pPr>
            <w:r>
              <w:t xml:space="preserve">Property taxes, insurance, and CAM charges can increase at renewal and raise occupancy cost.</w:t>
            </w:r>
          </w:p>
        </w:tc>
        <w:tc>
          <w:tcPr/>
          <w:p>
            <w:pPr>
              <w:pStyle w:val="TableText"/>
            </w:pPr>
            <w:r>
              <w:t xml:space="preserve">Medium</w:t>
            </w:r>
          </w:p>
        </w:tc>
        <w:tc>
          <w:tcPr/>
          <w:p>
            <w:pPr>
              <w:pStyle w:val="TableText"/>
            </w:pPr>
            <w:r>
              <w:t xml:space="preserve">Medium</w:t>
            </w:r>
          </w:p>
        </w:tc>
        <w:tc>
          <w:tcPr/>
          <w:p>
            <w:pPr>
              <w:pStyle w:val="TableText"/>
            </w:pPr>
            <w:r>
              <w:t xml:space="preserve">Track occupancy costs separately from base rent, negotiate renewal visibility early, and protect margin mix so premium collectible categories absorb more of any future lease pressure.</w:t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  <w:szCs w:val="24"/>
      </w:rPr>
    </w:rPrDefault>
    <w:pPrDefault>
      <w:pPr>
        <w:spacing w:after="120" w:line="300" w:lineRule="auto"/>
      </w:pPr>
    </w:pPrDefault>
  </w:docDefaults>
  <w:style w:type="paragraph" w:default="1" w:styleId="Normal">
    <w:name w:val="Normal"/>
    <w:qFormat/>
  </w:style>
  <w:style w:type="paragraph" w:styleId="Title">
    <w:name w:val="Title"/>
    <w:basedOn w:val="Normal"/>
    <w:qFormat/>
    <w:pPr>
      <w:spacing w:after="240"/>
    </w:pPr>
    <w:rPr>
      <w:b/>
      <w:sz w:val="32"/>
      <w:szCs w:val="32"/>
    </w:rPr>
  </w:style>
  <w:style w:type="paragraph" w:styleId="Heading1">
    <w:name w:val="Heading 1"/>
    <w:basedOn w:val="Normal"/>
    <w:qFormat/>
    <w:pPr>
      <w:spacing w:before="240" w:after="120"/>
    </w:pPr>
    <w:rPr>
      <w:b/>
      <w:sz w:val="28"/>
      <w:szCs w:val="28"/>
    </w:rPr>
  </w:style>
  <w:style w:type="paragraph" w:styleId="Heading2">
    <w:name w:val="Heading 2"/>
    <w:basedOn w:val="Normal"/>
    <w:qFormat/>
    <w:pPr>
      <w:spacing w:before="180" w:after="80"/>
    </w:pPr>
    <w:rPr>
      <w:b/>
      <w:sz w:val="24"/>
      <w:szCs w:val="24"/>
    </w:rPr>
  </w:style>
  <w:style w:type="paragraph" w:styleId="TableHeader">
    <w:name w:val="Table Header"/>
    <w:basedOn w:val="Normal"/>
    <w:rPr>
      <w:b/>
      <w:sz w:val="20"/>
      <w:szCs w:val="20"/>
    </w:rPr>
  </w:style>
  <w:style w:type="paragraph" w:styleId="TableText">
    <w:name w:val="Table Text"/>
    <w:basedOn w:val="Normal"/>
    <w:rPr>
      <w:sz w:val="20"/>
      <w:szCs w:val="20"/>
    </w:rPr>
  </w:style>
</w:styles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Application>OpenAI Codex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Otaku Haven Strategic Document</dc:title>
  <dc:creator>OpenAI Codex</dc:creator>
  <cp:lastModifiedBy>OpenAI Codex</cp:lastModifiedBy>
  <dcterms:created xsi:type="dcterms:W3CDTF">2026-04-25T20:55:38Z</dcterms:created>
  <dcterms:modified xsi:type="dcterms:W3CDTF">2026-04-25T20:55:38Z</dcterms:modified>
</cp:coreProperties>
</file>