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Title"/>
      </w:pPr>
      <w:r>
        <w:t xml:space="preserve">KPIs and Reporting</w:t>
      </w:r>
    </w:p>
    <w:p>
      <w:pPr>
        <w:pStyle w:val="Normal"/>
      </w:pPr>
      <w:r>
        <w:t xml:space="preserve">This KPI framework gives Otaku Haven a disciplined way to compare actual performance against the operating model while still managing day-to-day retail execution. The reporting philosophy is straightforward: use daily and weekly visibility for sales, traffic, and inventory control; use monthly management reviews for margin, cash flow, and break-even tracking; and escalate quickly when actual results drift materially from the Financial Model assumptions.</w:t>
      </w:r>
    </w:p>
    <w:p>
      <w:pPr>
        <w:pStyle w:val="Heading1"/>
      </w:pPr>
      <w:r>
        <w:t xml:space="preserve">Category 1 - Sales KPIs</w:t>
      </w:r>
    </w:p>
    <w:tbl>
      <w:tblPr>
        <w:tblW w:w="0" w:type="auto"/>
        <w:tblBorders>
          <w:top w:val="single" w:sz="8" w:space="0" w:color="666666"/>
          <w:left w:val="single" w:sz="8" w:space="0" w:color="666666"/>
          <w:bottom w:val="single" w:sz="8" w:space="0" w:color="666666"/>
          <w:right w:val="single" w:sz="8" w:space="0" w:color="666666"/>
          <w:insideH w:val="single" w:sz="6" w:space="0" w:color="888888"/>
          <w:insideV w:val="single" w:sz="6" w:space="0" w:color="888888"/>
        </w:tblBorders>
      </w:tblPr>
      <w:tr>
        <w:tc>
          <w:tcPr>
            <w:shd w:val="clear" w:color="auto" w:fill="E9ECEF"/>
          </w:tcPr>
          <w:p>
            <w:pPr>
              <w:pStyle w:val="TableHeader"/>
            </w:pPr>
            <w:r>
              <w:t xml:space="preserve">KPI Name</w:t>
            </w:r>
          </w:p>
        </w:tc>
        <w:tc>
          <w:tcPr>
            <w:shd w:val="clear" w:color="auto" w:fill="E9ECEF"/>
          </w:tcPr>
          <w:p>
            <w:pPr>
              <w:pStyle w:val="TableHeader"/>
            </w:pPr>
            <w:r>
              <w:t xml:space="preserve">Definition</w:t>
            </w:r>
          </w:p>
        </w:tc>
        <w:tc>
          <w:tcPr>
            <w:shd w:val="clear" w:color="auto" w:fill="E9ECEF"/>
          </w:tcPr>
          <w:p>
            <w:pPr>
              <w:pStyle w:val="TableHeader"/>
            </w:pPr>
            <w:r>
              <w:t xml:space="preserve">Calculation Method</w:t>
            </w:r>
          </w:p>
        </w:tc>
        <w:tc>
          <w:tcPr>
            <w:shd w:val="clear" w:color="auto" w:fill="E9ECEF"/>
          </w:tcPr>
          <w:p>
            <w:pPr>
              <w:pStyle w:val="TableHeader"/>
            </w:pPr>
            <w:r>
              <w:t xml:space="preserve">Target Range</w:t>
            </w:r>
          </w:p>
        </w:tc>
        <w:tc>
          <w:tcPr>
            <w:shd w:val="clear" w:color="auto" w:fill="E9ECEF"/>
          </w:tcPr>
          <w:p>
            <w:pPr>
              <w:pStyle w:val="TableHeader"/>
            </w:pPr>
            <w:r>
              <w:t xml:space="preserve">Reporting Frequency</w:t>
            </w:r>
          </w:p>
        </w:tc>
      </w:tr>
      <w:tr>
        <w:tc>
          <w:tcPr/>
          <w:p>
            <w:pPr>
              <w:pStyle w:val="TableText"/>
            </w:pPr>
            <w:r>
              <w:t xml:space="preserve">Total Revenue</w:t>
            </w:r>
          </w:p>
        </w:tc>
        <w:tc>
          <w:tcPr/>
          <w:p>
            <w:pPr>
              <w:pStyle w:val="TableText"/>
            </w:pPr>
            <w:r>
              <w:t xml:space="preserve">Gross sales across store and e-commerce compared to the Financial Model projection.</w:t>
            </w:r>
          </w:p>
        </w:tc>
        <w:tc>
          <w:tcPr/>
          <w:p>
            <w:pPr>
              <w:pStyle w:val="TableText"/>
            </w:pPr>
            <w:r>
              <w:t xml:space="preserve">Actual revenue from Square POS plus Square Online revenue for the period.</w:t>
            </w:r>
          </w:p>
        </w:tc>
        <w:tc>
          <w:tcPr/>
          <w:p>
            <w:pPr>
              <w:pStyle w:val="TableText"/>
            </w:pPr>
            <w:r>
              <w:t xml:space="preserve">Hold monthly revenue within the modeled launch band of $36,162.00 to $53,505.00 in June-December 2026; full-year 2027 target $697,936.93.</w:t>
            </w:r>
          </w:p>
        </w:tc>
        <w:tc>
          <w:tcPr/>
          <w:p>
            <w:pPr>
              <w:pStyle w:val="TableText"/>
            </w:pPr>
            <w:r>
              <w:t xml:space="preserve">Daily</w:t>
            </w:r>
          </w:p>
        </w:tc>
      </w:tr>
      <w:tr>
        <w:tc>
          <w:tcPr/>
          <w:p>
            <w:pPr>
              <w:pStyle w:val="TableText"/>
            </w:pPr>
            <w:r>
              <w:t xml:space="preserve">Average Transaction Value (ATV)</w:t>
            </w:r>
          </w:p>
        </w:tc>
        <w:tc>
          <w:tcPr/>
          <w:p>
            <w:pPr>
              <w:pStyle w:val="TableText"/>
            </w:pPr>
            <w:r>
              <w:t xml:space="preserve">Average dollars per completed sale.</w:t>
            </w:r>
          </w:p>
        </w:tc>
        <w:tc>
          <w:tcPr/>
          <w:p>
            <w:pPr>
              <w:pStyle w:val="TableText"/>
            </w:pPr>
            <w:r>
              <w:t xml:space="preserve">Total sales divided by total transactions.</w:t>
            </w:r>
          </w:p>
        </w:tc>
        <w:tc>
          <w:tcPr/>
          <w:p>
            <w:pPr>
              <w:pStyle w:val="TableText"/>
            </w:pPr>
            <w:r>
              <w:t xml:space="preserve">$35.00-$55.00 per transaction to support a mixed basket of manga, accessories, and collectibles.</w:t>
            </w:r>
          </w:p>
        </w:tc>
        <w:tc>
          <w:tcPr/>
          <w:p>
            <w:pPr>
              <w:pStyle w:val="TableText"/>
            </w:pPr>
            <w:r>
              <w:t xml:space="preserve">Weekly</w:t>
            </w:r>
          </w:p>
        </w:tc>
      </w:tr>
      <w:tr>
        <w:tc>
          <w:tcPr/>
          <w:p>
            <w:pPr>
              <w:pStyle w:val="TableText"/>
            </w:pPr>
            <w:r>
              <w:t xml:space="preserve">Sales per Square Foot</w:t>
            </w:r>
          </w:p>
        </w:tc>
        <w:tc>
          <w:tcPr/>
          <w:p>
            <w:pPr>
              <w:pStyle w:val="TableText"/>
            </w:pPr>
            <w:r>
              <w:t xml:space="preserve">Annualized sales productivity for the 1,800 sq ft store.</w:t>
            </w:r>
          </w:p>
        </w:tc>
        <w:tc>
          <w:tcPr/>
          <w:p>
            <w:pPr>
              <w:pStyle w:val="TableText"/>
            </w:pPr>
            <w:r>
              <w:t xml:space="preserve">(Revenue / 1,800) annualized for the reporting period.</w:t>
            </w:r>
          </w:p>
        </w:tc>
        <w:tc>
          <w:tcPr/>
          <w:p>
            <w:pPr>
              <w:pStyle w:val="TableText"/>
            </w:pPr>
            <w:r>
              <w:t xml:space="preserve">Run-rate target of $279.39 to $387.74 annualized, anchored to the Financial Model launch-year and Year 2 projections.</w:t>
            </w:r>
          </w:p>
        </w:tc>
        <w:tc>
          <w:tcPr/>
          <w:p>
            <w:pPr>
              <w:pStyle w:val="TableText"/>
            </w:pPr>
            <w:r>
              <w:t xml:space="preserve">Monthly</w:t>
            </w:r>
          </w:p>
        </w:tc>
      </w:tr>
      <w:tr>
        <w:tc>
          <w:tcPr/>
          <w:p>
            <w:pPr>
              <w:pStyle w:val="TableText"/>
            </w:pPr>
            <w:r>
              <w:t xml:space="preserve">Units per Transaction</w:t>
            </w:r>
          </w:p>
        </w:tc>
        <w:tc>
          <w:tcPr/>
          <w:p>
            <w:pPr>
              <w:pStyle w:val="TableText"/>
            </w:pPr>
            <w:r>
              <w:t xml:space="preserve">Average item count per sale.</w:t>
            </w:r>
          </w:p>
        </w:tc>
        <w:tc>
          <w:tcPr/>
          <w:p>
            <w:pPr>
              <w:pStyle w:val="TableText"/>
            </w:pPr>
            <w:r>
              <w:t xml:space="preserve">Units sold divided by transaction count.</w:t>
            </w:r>
          </w:p>
        </w:tc>
        <w:tc>
          <w:tcPr/>
          <w:p>
            <w:pPr>
              <w:pStyle w:val="TableText"/>
            </w:pPr>
            <w:r>
              <w:t xml:space="preserve">1.8-2.6 units per transaction, with add-on accessories and manga attachment driving the upper half of the range.</w:t>
            </w:r>
          </w:p>
        </w:tc>
        <w:tc>
          <w:tcPr/>
          <w:p>
            <w:pPr>
              <w:pStyle w:val="TableText"/>
            </w:pPr>
            <w:r>
              <w:t xml:space="preserve">Weekly</w:t>
            </w:r>
          </w:p>
        </w:tc>
      </w:tr>
    </w:tbl>
    <w:p>
      <w:pPr>
        <w:pStyle w:val="Heading1"/>
      </w:pPr>
      <w:r>
        <w:t xml:space="preserve">Category 2 - Inventory KPIs</w:t>
      </w:r>
    </w:p>
    <w:tbl>
      <w:tblPr>
        <w:tblW w:w="0" w:type="auto"/>
        <w:tblBorders>
          <w:top w:val="single" w:sz="8" w:space="0" w:color="666666"/>
          <w:left w:val="single" w:sz="8" w:space="0" w:color="666666"/>
          <w:bottom w:val="single" w:sz="8" w:space="0" w:color="666666"/>
          <w:right w:val="single" w:sz="8" w:space="0" w:color="666666"/>
          <w:insideH w:val="single" w:sz="6" w:space="0" w:color="888888"/>
          <w:insideV w:val="single" w:sz="6" w:space="0" w:color="888888"/>
        </w:tblBorders>
      </w:tblPr>
      <w:tr>
        <w:tc>
          <w:tcPr>
            <w:shd w:val="clear" w:color="auto" w:fill="E9ECEF"/>
          </w:tcPr>
          <w:p>
            <w:pPr>
              <w:pStyle w:val="TableHeader"/>
            </w:pPr>
            <w:r>
              <w:t xml:space="preserve">KPI Name</w:t>
            </w:r>
          </w:p>
        </w:tc>
        <w:tc>
          <w:tcPr>
            <w:shd w:val="clear" w:color="auto" w:fill="E9ECEF"/>
          </w:tcPr>
          <w:p>
            <w:pPr>
              <w:pStyle w:val="TableHeader"/>
            </w:pPr>
            <w:r>
              <w:t xml:space="preserve">Definition</w:t>
            </w:r>
          </w:p>
        </w:tc>
        <w:tc>
          <w:tcPr>
            <w:shd w:val="clear" w:color="auto" w:fill="E9ECEF"/>
          </w:tcPr>
          <w:p>
            <w:pPr>
              <w:pStyle w:val="TableHeader"/>
            </w:pPr>
            <w:r>
              <w:t xml:space="preserve">Calculation Method</w:t>
            </w:r>
          </w:p>
        </w:tc>
        <w:tc>
          <w:tcPr>
            <w:shd w:val="clear" w:color="auto" w:fill="E9ECEF"/>
          </w:tcPr>
          <w:p>
            <w:pPr>
              <w:pStyle w:val="TableHeader"/>
            </w:pPr>
            <w:r>
              <w:t xml:space="preserve">Target Range</w:t>
            </w:r>
          </w:p>
        </w:tc>
        <w:tc>
          <w:tcPr>
            <w:shd w:val="clear" w:color="auto" w:fill="E9ECEF"/>
          </w:tcPr>
          <w:p>
            <w:pPr>
              <w:pStyle w:val="TableHeader"/>
            </w:pPr>
            <w:r>
              <w:t xml:space="preserve">Reporting Frequency</w:t>
            </w:r>
          </w:p>
        </w:tc>
      </w:tr>
      <w:tr>
        <w:tc>
          <w:tcPr/>
          <w:p>
            <w:pPr>
              <w:pStyle w:val="TableText"/>
            </w:pPr>
            <w:r>
              <w:t xml:space="preserve">Inventory Turnover Rate</w:t>
            </w:r>
          </w:p>
        </w:tc>
        <w:tc>
          <w:tcPr/>
          <w:p>
            <w:pPr>
              <w:pStyle w:val="TableText"/>
            </w:pPr>
            <w:r>
              <w:t xml:space="preserve">How often inventory is sold through and replenished.</w:t>
            </w:r>
          </w:p>
        </w:tc>
        <w:tc>
          <w:tcPr/>
          <w:p>
            <w:pPr>
              <w:pStyle w:val="TableText"/>
            </w:pPr>
            <w:r>
              <w:t xml:space="preserve">Annualized cost of goods sold divided by average inventory on hand.</w:t>
            </w:r>
          </w:p>
        </w:tc>
        <w:tc>
          <w:tcPr/>
          <w:p>
            <w:pPr>
              <w:pStyle w:val="TableText"/>
            </w:pPr>
            <w:r>
              <w:t xml:space="preserve">3.0x-4.5x overall, with faster turns expected in manga and trading cards than in premium figures.</w:t>
            </w:r>
          </w:p>
        </w:tc>
        <w:tc>
          <w:tcPr/>
          <w:p>
            <w:pPr>
              <w:pStyle w:val="TableText"/>
            </w:pPr>
            <w:r>
              <w:t xml:space="preserve">Monthly</w:t>
            </w:r>
          </w:p>
        </w:tc>
      </w:tr>
      <w:tr>
        <w:tc>
          <w:tcPr/>
          <w:p>
            <w:pPr>
              <w:pStyle w:val="TableText"/>
            </w:pPr>
            <w:r>
              <w:t xml:space="preserve">Shrink Percentage</w:t>
            </w:r>
          </w:p>
        </w:tc>
        <w:tc>
          <w:tcPr/>
          <w:p>
            <w:pPr>
              <w:pStyle w:val="TableText"/>
            </w:pPr>
            <w:r>
              <w:t xml:space="preserve">Inventory loss as a share of inventory value.</w:t>
            </w:r>
          </w:p>
        </w:tc>
        <w:tc>
          <w:tcPr/>
          <w:p>
            <w:pPr>
              <w:pStyle w:val="TableText"/>
            </w:pPr>
            <w:r>
              <w:t xml:space="preserve">(Inventory adjustments for loss / average inventory value) x 100.</w:t>
            </w:r>
          </w:p>
        </w:tc>
        <w:tc>
          <w:tcPr/>
          <w:p>
            <w:pPr>
              <w:pStyle w:val="TableText"/>
            </w:pPr>
            <w:r>
              <w:t xml:space="preserve">Below 1.5% monthly and below 2.0% annualized, with premium categories monitored separately.</w:t>
            </w:r>
          </w:p>
        </w:tc>
        <w:tc>
          <w:tcPr/>
          <w:p>
            <w:pPr>
              <w:pStyle w:val="TableText"/>
            </w:pPr>
            <w:r>
              <w:t xml:space="preserve">Monthly</w:t>
            </w:r>
          </w:p>
        </w:tc>
      </w:tr>
      <w:tr>
        <w:tc>
          <w:tcPr/>
          <w:p>
            <w:pPr>
              <w:pStyle w:val="TableText"/>
            </w:pPr>
            <w:r>
              <w:t xml:space="preserve">Days of Supply on Hand</w:t>
            </w:r>
          </w:p>
        </w:tc>
        <w:tc>
          <w:tcPr/>
          <w:p>
            <w:pPr>
              <w:pStyle w:val="TableText"/>
            </w:pPr>
            <w:r>
              <w:t xml:space="preserve">How many days current inventory can support projected demand.</w:t>
            </w:r>
          </w:p>
        </w:tc>
        <w:tc>
          <w:tcPr/>
          <w:p>
            <w:pPr>
              <w:pStyle w:val="TableText"/>
            </w:pPr>
            <w:r>
              <w:t xml:space="preserve">Inventory on hand divided by average daily sales at cost.</w:t>
            </w:r>
          </w:p>
        </w:tc>
        <w:tc>
          <w:tcPr/>
          <w:p>
            <w:pPr>
              <w:pStyle w:val="TableText"/>
            </w:pPr>
            <w:r>
              <w:t xml:space="preserve">45-75 days overall; shorter for trading cards and manga, longer for curated collectible buys.</w:t>
            </w:r>
          </w:p>
        </w:tc>
        <w:tc>
          <w:tcPr/>
          <w:p>
            <w:pPr>
              <w:pStyle w:val="TableText"/>
            </w:pPr>
            <w:r>
              <w:t xml:space="preserve">Weekly</w:t>
            </w:r>
          </w:p>
        </w:tc>
      </w:tr>
      <w:tr>
        <w:tc>
          <w:tcPr/>
          <w:p>
            <w:pPr>
              <w:pStyle w:val="TableText"/>
            </w:pPr>
            <w:r>
              <w:t xml:space="preserve">Sell-Through Rate</w:t>
            </w:r>
          </w:p>
        </w:tc>
        <w:tc>
          <w:tcPr/>
          <w:p>
            <w:pPr>
              <w:pStyle w:val="TableText"/>
            </w:pPr>
            <w:r>
              <w:t xml:space="preserve">How much of a received category buy sells in the intended period.</w:t>
            </w:r>
          </w:p>
        </w:tc>
        <w:tc>
          <w:tcPr/>
          <w:p>
            <w:pPr>
              <w:pStyle w:val="TableText"/>
            </w:pPr>
            <w:r>
              <w:t xml:space="preserve">(Units sold from a receipt cohort / units received in that cohort) x 100, tracked by category.</w:t>
            </w:r>
          </w:p>
        </w:tc>
        <w:tc>
          <w:tcPr/>
          <w:p>
            <w:pPr>
              <w:pStyle w:val="TableText"/>
            </w:pPr>
            <w:r>
              <w:t xml:space="preserve">60%-80% within the planned sell window, with figures reviewed release by release.</w:t>
            </w:r>
          </w:p>
        </w:tc>
        <w:tc>
          <w:tcPr/>
          <w:p>
            <w:pPr>
              <w:pStyle w:val="TableText"/>
            </w:pPr>
            <w:r>
              <w:t xml:space="preserve">Weekly</w:t>
            </w:r>
          </w:p>
        </w:tc>
      </w:tr>
    </w:tbl>
    <w:p>
      <w:pPr>
        <w:pStyle w:val="Heading1"/>
      </w:pPr>
      <w:r>
        <w:t xml:space="preserve">Category 3 - Customer KPIs</w:t>
      </w:r>
    </w:p>
    <w:tbl>
      <w:tblPr>
        <w:tblW w:w="0" w:type="auto"/>
        <w:tblBorders>
          <w:top w:val="single" w:sz="8" w:space="0" w:color="666666"/>
          <w:left w:val="single" w:sz="8" w:space="0" w:color="666666"/>
          <w:bottom w:val="single" w:sz="8" w:space="0" w:color="666666"/>
          <w:right w:val="single" w:sz="8" w:space="0" w:color="666666"/>
          <w:insideH w:val="single" w:sz="6" w:space="0" w:color="888888"/>
          <w:insideV w:val="single" w:sz="6" w:space="0" w:color="888888"/>
        </w:tblBorders>
      </w:tblPr>
      <w:tr>
        <w:tc>
          <w:tcPr>
            <w:shd w:val="clear" w:color="auto" w:fill="E9ECEF"/>
          </w:tcPr>
          <w:p>
            <w:pPr>
              <w:pStyle w:val="TableHeader"/>
            </w:pPr>
            <w:r>
              <w:t xml:space="preserve">KPI Name</w:t>
            </w:r>
          </w:p>
        </w:tc>
        <w:tc>
          <w:tcPr>
            <w:shd w:val="clear" w:color="auto" w:fill="E9ECEF"/>
          </w:tcPr>
          <w:p>
            <w:pPr>
              <w:pStyle w:val="TableHeader"/>
            </w:pPr>
            <w:r>
              <w:t xml:space="preserve">Definition</w:t>
            </w:r>
          </w:p>
        </w:tc>
        <w:tc>
          <w:tcPr>
            <w:shd w:val="clear" w:color="auto" w:fill="E9ECEF"/>
          </w:tcPr>
          <w:p>
            <w:pPr>
              <w:pStyle w:val="TableHeader"/>
            </w:pPr>
            <w:r>
              <w:t xml:space="preserve">Calculation Method</w:t>
            </w:r>
          </w:p>
        </w:tc>
        <w:tc>
          <w:tcPr>
            <w:shd w:val="clear" w:color="auto" w:fill="E9ECEF"/>
          </w:tcPr>
          <w:p>
            <w:pPr>
              <w:pStyle w:val="TableHeader"/>
            </w:pPr>
            <w:r>
              <w:t xml:space="preserve">Target Range</w:t>
            </w:r>
          </w:p>
        </w:tc>
        <w:tc>
          <w:tcPr>
            <w:shd w:val="clear" w:color="auto" w:fill="E9ECEF"/>
          </w:tcPr>
          <w:p>
            <w:pPr>
              <w:pStyle w:val="TableHeader"/>
            </w:pPr>
            <w:r>
              <w:t xml:space="preserve">Reporting Frequency</w:t>
            </w:r>
          </w:p>
        </w:tc>
      </w:tr>
      <w:tr>
        <w:tc>
          <w:tcPr/>
          <w:p>
            <w:pPr>
              <w:pStyle w:val="TableText"/>
            </w:pPr>
            <w:r>
              <w:t xml:space="preserve">Daily / Weekly Foot Traffic</w:t>
            </w:r>
          </w:p>
        </w:tc>
        <w:tc>
          <w:tcPr/>
          <w:p>
            <w:pPr>
              <w:pStyle w:val="TableText"/>
            </w:pPr>
            <w:r>
              <w:t xml:space="preserve">Store visit volume by day and by week.</w:t>
            </w:r>
          </w:p>
        </w:tc>
        <w:tc>
          <w:tcPr/>
          <w:p>
            <w:pPr>
              <w:pStyle w:val="TableText"/>
            </w:pPr>
            <w:r>
              <w:t xml:space="preserve">Door count totals captured manually or via counter, rolled to weekly trend.</w:t>
            </w:r>
          </w:p>
        </w:tc>
        <w:tc>
          <w:tcPr/>
          <w:p>
            <w:pPr>
              <w:pStyle w:val="TableText"/>
            </w:pPr>
            <w:r>
              <w:t xml:space="preserve">Roughly 55-120 visits per day depending on seasonality and event cadence; weekly trend should rise into holiday and event periods.</w:t>
            </w:r>
          </w:p>
        </w:tc>
        <w:tc>
          <w:tcPr/>
          <w:p>
            <w:pPr>
              <w:pStyle w:val="TableText"/>
            </w:pPr>
            <w:r>
              <w:t xml:space="preserve">Daily</w:t>
            </w:r>
          </w:p>
        </w:tc>
      </w:tr>
      <w:tr>
        <w:tc>
          <w:tcPr/>
          <w:p>
            <w:pPr>
              <w:pStyle w:val="TableText"/>
            </w:pPr>
            <w:r>
              <w:t xml:space="preserve">Conversion Rate</w:t>
            </w:r>
          </w:p>
        </w:tc>
        <w:tc>
          <w:tcPr/>
          <w:p>
            <w:pPr>
              <w:pStyle w:val="TableText"/>
            </w:pPr>
            <w:r>
              <w:t xml:space="preserve">Share of visitors who complete a purchase.</w:t>
            </w:r>
          </w:p>
        </w:tc>
        <w:tc>
          <w:tcPr/>
          <w:p>
            <w:pPr>
              <w:pStyle w:val="TableText"/>
            </w:pPr>
            <w:r>
              <w:t xml:space="preserve">Transactions divided by foot traffic.</w:t>
            </w:r>
          </w:p>
        </w:tc>
        <w:tc>
          <w:tcPr/>
          <w:p>
            <w:pPr>
              <w:pStyle w:val="TableText"/>
            </w:pPr>
            <w:r>
              <w:t xml:space="preserve">18%-30%, with staffing quality and event traffic mix affecting the upper end.</w:t>
            </w:r>
          </w:p>
        </w:tc>
        <w:tc>
          <w:tcPr/>
          <w:p>
            <w:pPr>
              <w:pStyle w:val="TableText"/>
            </w:pPr>
            <w:r>
              <w:t xml:space="preserve">Weekly</w:t>
            </w:r>
          </w:p>
        </w:tc>
      </w:tr>
      <w:tr>
        <w:tc>
          <w:tcPr/>
          <w:p>
            <w:pPr>
              <w:pStyle w:val="TableText"/>
            </w:pPr>
            <w:r>
              <w:t xml:space="preserve">Repeat Customer Rate</w:t>
            </w:r>
          </w:p>
        </w:tc>
        <w:tc>
          <w:tcPr/>
          <w:p>
            <w:pPr>
              <w:pStyle w:val="TableText"/>
            </w:pPr>
            <w:r>
              <w:t xml:space="preserve">Share of customers who purchase more than once in the measurement window.</w:t>
            </w:r>
          </w:p>
        </w:tc>
        <w:tc>
          <w:tcPr/>
          <w:p>
            <w:pPr>
              <w:pStyle w:val="TableText"/>
            </w:pPr>
            <w:r>
              <w:t xml:space="preserve">Repeat customer transactions divided by total customer transactions.</w:t>
            </w:r>
          </w:p>
        </w:tc>
        <w:tc>
          <w:tcPr/>
          <w:p>
            <w:pPr>
              <w:pStyle w:val="TableText"/>
            </w:pPr>
            <w:r>
              <w:t xml:space="preserve">25%-40% as the store matures, supported by release cycles and community programming.</w:t>
            </w:r>
          </w:p>
        </w:tc>
        <w:tc>
          <w:tcPr/>
          <w:p>
            <w:pPr>
              <w:pStyle w:val="TableText"/>
            </w:pPr>
            <w:r>
              <w:t xml:space="preserve">Monthly</w:t>
            </w:r>
          </w:p>
        </w:tc>
      </w:tr>
      <w:tr>
        <w:tc>
          <w:tcPr/>
          <w:p>
            <w:pPr>
              <w:pStyle w:val="TableText"/>
            </w:pPr>
            <w:r>
              <w:t xml:space="preserve">Loyalty Program Enrollment Rate</w:t>
            </w:r>
          </w:p>
        </w:tc>
        <w:tc>
          <w:tcPr/>
          <w:p>
            <w:pPr>
              <w:pStyle w:val="TableText"/>
            </w:pPr>
            <w:r>
              <w:t xml:space="preserve">Share of transactions tied to identified loyalty members.</w:t>
            </w:r>
          </w:p>
        </w:tc>
        <w:tc>
          <w:tcPr/>
          <w:p>
            <w:pPr>
              <w:pStyle w:val="TableText"/>
            </w:pPr>
            <w:r>
              <w:t xml:space="preserve">Transactions from enrolled loyalty members divided by total transactions.</w:t>
            </w:r>
          </w:p>
        </w:tc>
        <w:tc>
          <w:tcPr/>
          <w:p>
            <w:pPr>
              <w:pStyle w:val="TableText"/>
            </w:pPr>
            <w:r>
              <w:t xml:space="preserve">20%-35% of transactions, with higher penetration targeted after launch-quarter onboarding.</w:t>
            </w:r>
          </w:p>
        </w:tc>
        <w:tc>
          <w:tcPr/>
          <w:p>
            <w:pPr>
              <w:pStyle w:val="TableText"/>
            </w:pPr>
            <w:r>
              <w:t xml:space="preserve">Monthly</w:t>
            </w:r>
          </w:p>
        </w:tc>
      </w:tr>
    </w:tbl>
    <w:p>
      <w:pPr>
        <w:pStyle w:val="Heading1"/>
      </w:pPr>
      <w:r>
        <w:t xml:space="preserve">Category 4 - Financial KPIs</w:t>
      </w:r>
    </w:p>
    <w:tbl>
      <w:tblPr>
        <w:tblW w:w="0" w:type="auto"/>
        <w:tblBorders>
          <w:top w:val="single" w:sz="8" w:space="0" w:color="666666"/>
          <w:left w:val="single" w:sz="8" w:space="0" w:color="666666"/>
          <w:bottom w:val="single" w:sz="8" w:space="0" w:color="666666"/>
          <w:right w:val="single" w:sz="8" w:space="0" w:color="666666"/>
          <w:insideH w:val="single" w:sz="6" w:space="0" w:color="888888"/>
          <w:insideV w:val="single" w:sz="6" w:space="0" w:color="888888"/>
        </w:tblBorders>
      </w:tblPr>
      <w:tr>
        <w:tc>
          <w:tcPr>
            <w:shd w:val="clear" w:color="auto" w:fill="E9ECEF"/>
          </w:tcPr>
          <w:p>
            <w:pPr>
              <w:pStyle w:val="TableHeader"/>
            </w:pPr>
            <w:r>
              <w:t xml:space="preserve">KPI Name</w:t>
            </w:r>
          </w:p>
        </w:tc>
        <w:tc>
          <w:tcPr>
            <w:shd w:val="clear" w:color="auto" w:fill="E9ECEF"/>
          </w:tcPr>
          <w:p>
            <w:pPr>
              <w:pStyle w:val="TableHeader"/>
            </w:pPr>
            <w:r>
              <w:t xml:space="preserve">Definition</w:t>
            </w:r>
          </w:p>
        </w:tc>
        <w:tc>
          <w:tcPr>
            <w:shd w:val="clear" w:color="auto" w:fill="E9ECEF"/>
          </w:tcPr>
          <w:p>
            <w:pPr>
              <w:pStyle w:val="TableHeader"/>
            </w:pPr>
            <w:r>
              <w:t xml:space="preserve">Calculation Method</w:t>
            </w:r>
          </w:p>
        </w:tc>
        <w:tc>
          <w:tcPr>
            <w:shd w:val="clear" w:color="auto" w:fill="E9ECEF"/>
          </w:tcPr>
          <w:p>
            <w:pPr>
              <w:pStyle w:val="TableHeader"/>
            </w:pPr>
            <w:r>
              <w:t xml:space="preserve">Target Range</w:t>
            </w:r>
          </w:p>
        </w:tc>
        <w:tc>
          <w:tcPr>
            <w:shd w:val="clear" w:color="auto" w:fill="E9ECEF"/>
          </w:tcPr>
          <w:p>
            <w:pPr>
              <w:pStyle w:val="TableHeader"/>
            </w:pPr>
            <w:r>
              <w:t xml:space="preserve">Reporting Frequency</w:t>
            </w:r>
          </w:p>
        </w:tc>
      </w:tr>
      <w:tr>
        <w:tc>
          <w:tcPr/>
          <w:p>
            <w:pPr>
              <w:pStyle w:val="TableText"/>
            </w:pPr>
            <w:r>
              <w:t xml:space="preserve">Gross Margin %</w:t>
            </w:r>
          </w:p>
        </w:tc>
        <w:tc>
          <w:tcPr/>
          <w:p>
            <w:pPr>
              <w:pStyle w:val="TableText"/>
            </w:pPr>
            <w:r>
              <w:t xml:space="preserve">Gross profit as a percentage of revenue compared with the Financial Model assumption.</w:t>
            </w:r>
          </w:p>
        </w:tc>
        <w:tc>
          <w:tcPr/>
          <w:p>
            <w:pPr>
              <w:pStyle w:val="TableText"/>
            </w:pPr>
            <w:r>
              <w:t xml:space="preserve">Gross profit divided by revenue.</w:t>
            </w:r>
          </w:p>
        </w:tc>
        <w:tc>
          <w:tcPr/>
          <w:p>
            <w:pPr>
              <w:pStyle w:val="TableText"/>
            </w:pPr>
            <w:r>
              <w:t xml:space="preserve">Derived from Financial-Model.xlsx: target around 50.0% with a management band of 48.0%-52.0%.</w:t>
            </w:r>
          </w:p>
        </w:tc>
        <w:tc>
          <w:tcPr/>
          <w:p>
            <w:pPr>
              <w:pStyle w:val="TableText"/>
            </w:pPr>
            <w:r>
              <w:t xml:space="preserve">Monthly</w:t>
            </w:r>
          </w:p>
        </w:tc>
      </w:tr>
      <w:tr>
        <w:tc>
          <w:tcPr/>
          <w:p>
            <w:pPr>
              <w:pStyle w:val="TableText"/>
            </w:pPr>
            <w:r>
              <w:t xml:space="preserve">Operating Margin %</w:t>
            </w:r>
          </w:p>
        </w:tc>
        <w:tc>
          <w:tcPr/>
          <w:p>
            <w:pPr>
              <w:pStyle w:val="TableText"/>
            </w:pPr>
            <w:r>
              <w:t xml:space="preserve">Operating income as a percentage of revenue compared with the Financial Model projection.</w:t>
            </w:r>
          </w:p>
        </w:tc>
        <w:tc>
          <w:tcPr/>
          <w:p>
            <w:pPr>
              <w:pStyle w:val="TableText"/>
            </w:pPr>
            <w:r>
              <w:t xml:space="preserve">Operating income divided by revenue.</w:t>
            </w:r>
          </w:p>
        </w:tc>
        <w:tc>
          <w:tcPr/>
          <w:p>
            <w:pPr>
              <w:pStyle w:val="TableText"/>
            </w:pPr>
            <w:r>
              <w:t xml:space="preserve">Derived from Financial-Model.xlsx: launch-period operating margin of -15.3% improving toward 2.9% in full-year 2027.</w:t>
            </w:r>
          </w:p>
        </w:tc>
        <w:tc>
          <w:tcPr/>
          <w:p>
            <w:pPr>
              <w:pStyle w:val="TableText"/>
            </w:pPr>
            <w:r>
              <w:t xml:space="preserve">Monthly</w:t>
            </w:r>
          </w:p>
        </w:tc>
      </w:tr>
      <w:tr>
        <w:tc>
          <w:tcPr/>
          <w:p>
            <w:pPr>
              <w:pStyle w:val="TableText"/>
            </w:pPr>
            <w:r>
              <w:t xml:space="preserve">Monthly Cash Flow</w:t>
            </w:r>
          </w:p>
        </w:tc>
        <w:tc>
          <w:tcPr/>
          <w:p>
            <w:pPr>
              <w:pStyle w:val="TableText"/>
            </w:pPr>
            <w:r>
              <w:t xml:space="preserve">Monthly operating cash generation versus the modeled ramp.</w:t>
            </w:r>
          </w:p>
        </w:tc>
        <w:tc>
          <w:tcPr/>
          <w:p>
            <w:pPr>
              <w:pStyle w:val="TableText"/>
            </w:pPr>
            <w:r>
              <w:t xml:space="preserve">Monthly operating income, adjusted for non-cash items and working capital changes if they arise.</w:t>
            </w:r>
          </w:p>
        </w:tc>
        <w:tc>
          <w:tcPr/>
          <w:p>
            <w:pPr>
              <w:pStyle w:val="TableText"/>
            </w:pPr>
            <w:r>
              <w:t xml:space="preserve">Derived from Financial-Model.xlsx: operating cash flow ranges from $-9,285.61 at the low point to $640.49 by March 2027, with positive monthly operating cash by March 2027.</w:t>
            </w:r>
          </w:p>
        </w:tc>
        <w:tc>
          <w:tcPr/>
          <w:p>
            <w:pPr>
              <w:pStyle w:val="TableText"/>
            </w:pPr>
            <w:r>
              <w:t xml:space="preserve">Monthly</w:t>
            </w:r>
          </w:p>
        </w:tc>
      </w:tr>
      <w:tr>
        <w:tc>
          <w:tcPr/>
          <w:p>
            <w:pPr>
              <w:pStyle w:val="TableText"/>
            </w:pPr>
            <w:r>
              <w:t xml:space="preserve">Break-Even Progress</w:t>
            </w:r>
          </w:p>
        </w:tc>
        <w:tc>
          <w:tcPr/>
          <w:p>
            <w:pPr>
              <w:pStyle w:val="TableText"/>
            </w:pPr>
            <w:r>
              <w:t xml:space="preserve">Progress against the modeled revenue threshold needed to cover monthly fixed costs.</w:t>
            </w:r>
          </w:p>
        </w:tc>
        <w:tc>
          <w:tcPr/>
          <w:p>
            <w:pPr>
              <w:pStyle w:val="TableText"/>
            </w:pPr>
            <w:r>
              <w:t xml:space="preserve">Actual monthly revenue divided by the modeled break-even revenue threshold.</w:t>
            </w:r>
          </w:p>
        </w:tc>
        <w:tc>
          <w:tcPr/>
          <w:p>
            <w:pPr>
              <w:pStyle w:val="TableText"/>
            </w:pPr>
            <w:r>
              <w:t xml:space="preserve">Derived from Financial-Model.xlsx: reach or exceed the monthly break-even threshold of $54,733.23 by March 2027.</w:t>
            </w:r>
          </w:p>
        </w:tc>
        <w:tc>
          <w:tcPr/>
          <w:p>
            <w:pPr>
              <w:pStyle w:val="TableText"/>
            </w:pPr>
            <w:r>
              <w:t xml:space="preserve">Monthly</w:t>
            </w:r>
          </w:p>
        </w:tc>
      </w:tr>
    </w:tbl>
    <w:p>
      <w:pPr>
        <w:pStyle w:val="Heading1"/>
      </w:pPr>
      <w:r>
        <w:t xml:space="preserve">Category 5 - Marketing KPIs</w:t>
      </w:r>
    </w:p>
    <w:tbl>
      <w:tblPr>
        <w:tblW w:w="0" w:type="auto"/>
        <w:tblBorders>
          <w:top w:val="single" w:sz="8" w:space="0" w:color="666666"/>
          <w:left w:val="single" w:sz="8" w:space="0" w:color="666666"/>
          <w:bottom w:val="single" w:sz="8" w:space="0" w:color="666666"/>
          <w:right w:val="single" w:sz="8" w:space="0" w:color="666666"/>
          <w:insideH w:val="single" w:sz="6" w:space="0" w:color="888888"/>
          <w:insideV w:val="single" w:sz="6" w:space="0" w:color="888888"/>
        </w:tblBorders>
      </w:tblPr>
      <w:tr>
        <w:tc>
          <w:tcPr>
            <w:shd w:val="clear" w:color="auto" w:fill="E9ECEF"/>
          </w:tcPr>
          <w:p>
            <w:pPr>
              <w:pStyle w:val="TableHeader"/>
            </w:pPr>
            <w:r>
              <w:t xml:space="preserve">KPI Name</w:t>
            </w:r>
          </w:p>
        </w:tc>
        <w:tc>
          <w:tcPr>
            <w:shd w:val="clear" w:color="auto" w:fill="E9ECEF"/>
          </w:tcPr>
          <w:p>
            <w:pPr>
              <w:pStyle w:val="TableHeader"/>
            </w:pPr>
            <w:r>
              <w:t xml:space="preserve">Definition</w:t>
            </w:r>
          </w:p>
        </w:tc>
        <w:tc>
          <w:tcPr>
            <w:shd w:val="clear" w:color="auto" w:fill="E9ECEF"/>
          </w:tcPr>
          <w:p>
            <w:pPr>
              <w:pStyle w:val="TableHeader"/>
            </w:pPr>
            <w:r>
              <w:t xml:space="preserve">Calculation Method</w:t>
            </w:r>
          </w:p>
        </w:tc>
        <w:tc>
          <w:tcPr>
            <w:shd w:val="clear" w:color="auto" w:fill="E9ECEF"/>
          </w:tcPr>
          <w:p>
            <w:pPr>
              <w:pStyle w:val="TableHeader"/>
            </w:pPr>
            <w:r>
              <w:t xml:space="preserve">Target Range</w:t>
            </w:r>
          </w:p>
        </w:tc>
        <w:tc>
          <w:tcPr>
            <w:shd w:val="clear" w:color="auto" w:fill="E9ECEF"/>
          </w:tcPr>
          <w:p>
            <w:pPr>
              <w:pStyle w:val="TableHeader"/>
            </w:pPr>
            <w:r>
              <w:t xml:space="preserve">Reporting Frequency</w:t>
            </w:r>
          </w:p>
        </w:tc>
      </w:tr>
      <w:tr>
        <w:tc>
          <w:tcPr/>
          <w:p>
            <w:pPr>
              <w:pStyle w:val="TableText"/>
            </w:pPr>
            <w:r>
              <w:t xml:space="preserve">Social Media Engagement Rate</w:t>
            </w:r>
          </w:p>
        </w:tc>
        <w:tc>
          <w:tcPr/>
          <w:p>
            <w:pPr>
              <w:pStyle w:val="TableText"/>
            </w:pPr>
            <w:r>
              <w:t xml:space="preserve">Interaction quality on Instagram, TikTok, and X relative to audience reach.</w:t>
            </w:r>
          </w:p>
        </w:tc>
        <w:tc>
          <w:tcPr/>
          <w:p>
            <w:pPr>
              <w:pStyle w:val="TableText"/>
            </w:pPr>
            <w:r>
              <w:t xml:space="preserve">(Likes + comments + shares + saves) divided by impressions or followers, by platform.</w:t>
            </w:r>
          </w:p>
        </w:tc>
        <w:tc>
          <w:tcPr/>
          <w:p>
            <w:pPr>
              <w:pStyle w:val="TableText"/>
            </w:pPr>
            <w:r>
              <w:t xml:space="preserve">Instagram 4%-7%; TikTok 5%-9%; X 1.5%-3.0%, with event and launch posts expected to outperform baseline.</w:t>
            </w:r>
          </w:p>
        </w:tc>
        <w:tc>
          <w:tcPr/>
          <w:p>
            <w:pPr>
              <w:pStyle w:val="TableText"/>
            </w:pPr>
            <w:r>
              <w:t xml:space="preserve">Weekly</w:t>
            </w:r>
          </w:p>
        </w:tc>
      </w:tr>
      <w:tr>
        <w:tc>
          <w:tcPr/>
          <w:p>
            <w:pPr>
              <w:pStyle w:val="TableText"/>
            </w:pPr>
            <w:r>
              <w:t xml:space="preserve">Email List Size and Monthly Growth Rate</w:t>
            </w:r>
          </w:p>
        </w:tc>
        <w:tc>
          <w:tcPr/>
          <w:p>
            <w:pPr>
              <w:pStyle w:val="TableText"/>
            </w:pPr>
            <w:r>
              <w:t xml:space="preserve">Owned audience size and monthly list expansion.</w:t>
            </w:r>
          </w:p>
        </w:tc>
        <w:tc>
          <w:tcPr/>
          <w:p>
            <w:pPr>
              <w:pStyle w:val="TableText"/>
            </w:pPr>
            <w:r>
              <w:t xml:space="preserve">Current subscribers and net monthly growth percentage.</w:t>
            </w:r>
          </w:p>
        </w:tc>
        <w:tc>
          <w:tcPr/>
          <w:p>
            <w:pPr>
              <w:pStyle w:val="TableText"/>
            </w:pPr>
            <w:r>
              <w:t xml:space="preserve">Reach 1,000+ local and online subscribers before the first holiday season; maintain 5%-10% monthly growth after launch.</w:t>
            </w:r>
          </w:p>
        </w:tc>
        <w:tc>
          <w:tcPr/>
          <w:p>
            <w:pPr>
              <w:pStyle w:val="TableText"/>
            </w:pPr>
            <w:r>
              <w:t xml:space="preserve">Monthly</w:t>
            </w:r>
          </w:p>
        </w:tc>
      </w:tr>
      <w:tr>
        <w:tc>
          <w:tcPr/>
          <w:p>
            <w:pPr>
              <w:pStyle w:val="TableText"/>
            </w:pPr>
            <w:r>
              <w:t xml:space="preserve">In-Store Event Attendance</w:t>
            </w:r>
          </w:p>
        </w:tc>
        <w:tc>
          <w:tcPr/>
          <w:p>
            <w:pPr>
              <w:pStyle w:val="TableText"/>
            </w:pPr>
            <w:r>
              <w:t xml:space="preserve">Participation level in tournaments, manga club, unboxings, and artist events.</w:t>
            </w:r>
          </w:p>
        </w:tc>
        <w:tc>
          <w:tcPr/>
          <w:p>
            <w:pPr>
              <w:pStyle w:val="TableText"/>
            </w:pPr>
            <w:r>
              <w:t xml:space="preserve">Attendee count per event and average attendance by event type.</w:t>
            </w:r>
          </w:p>
        </w:tc>
        <w:tc>
          <w:tcPr/>
          <w:p>
            <w:pPr>
              <w:pStyle w:val="TableText"/>
            </w:pPr>
            <w:r>
              <w:t xml:space="preserve">20-40 attendees for recurring events and 60+ for major launch or partner events.</w:t>
            </w:r>
          </w:p>
        </w:tc>
        <w:tc>
          <w:tcPr/>
          <w:p>
            <w:pPr>
              <w:pStyle w:val="TableText"/>
            </w:pPr>
            <w:r>
              <w:t xml:space="preserve">Monthly</w:t>
            </w:r>
          </w:p>
        </w:tc>
      </w:tr>
    </w:tbl>
    <w:sectPr>
      <w:pgSz w:w="12240" w:h="15840"/>
      <w:pgMar w:top="1440" w:right="1440" w:bottom="1440" w:left="1440" w:header="720" w:footer="720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  <w:szCs w:val="24"/>
      </w:rPr>
    </w:rPrDefault>
    <w:pPrDefault>
      <w:pPr>
        <w:spacing w:after="120" w:line="300" w:lineRule="auto"/>
      </w:pPr>
    </w:pPrDefault>
  </w:docDefaults>
  <w:style w:type="paragraph" w:default="1" w:styleId="Normal">
    <w:name w:val="Normal"/>
    <w:qFormat/>
  </w:style>
  <w:style w:type="paragraph" w:styleId="Title">
    <w:name w:val="Title"/>
    <w:basedOn w:val="Normal"/>
    <w:qFormat/>
    <w:pPr>
      <w:spacing w:after="240"/>
    </w:pPr>
    <w:rPr>
      <w:b/>
      <w:sz w:val="32"/>
      <w:szCs w:val="32"/>
    </w:rPr>
  </w:style>
  <w:style w:type="paragraph" w:styleId="Heading1">
    <w:name w:val="Heading 1"/>
    <w:basedOn w:val="Normal"/>
    <w:qFormat/>
    <w:pPr>
      <w:spacing w:before="240" w:after="120"/>
    </w:pPr>
    <w:rPr>
      <w:b/>
      <w:sz w:val="28"/>
      <w:szCs w:val="28"/>
    </w:rPr>
  </w:style>
  <w:style w:type="paragraph" w:styleId="Heading2">
    <w:name w:val="Heading 2"/>
    <w:basedOn w:val="Normal"/>
    <w:qFormat/>
    <w:pPr>
      <w:spacing w:before="180" w:after="80"/>
    </w:pPr>
    <w:rPr>
      <w:b/>
      <w:sz w:val="24"/>
      <w:szCs w:val="24"/>
    </w:rPr>
  </w:style>
  <w:style w:type="paragraph" w:styleId="TableHeader">
    <w:name w:val="Table Header"/>
    <w:basedOn w:val="Normal"/>
    <w:rPr>
      <w:b/>
      <w:sz w:val="20"/>
      <w:szCs w:val="20"/>
    </w:rPr>
  </w:style>
  <w:style w:type="paragraph" w:styleId="TableText">
    <w:name w:val="Table Text"/>
    <w:basedOn w:val="Normal"/>
    <w:rPr>
      <w:sz w:val="20"/>
      <w:szCs w:val="20"/>
    </w:rPr>
  </w:style>
</w:styles>
</file>

<file path=word/_rels/document.xml.rels><?xml version="1.0" encoding="UTF-8" standalone="yes"?>
<Relationships xmlns="http://schemas.openxmlformats.org/package/2006/relationships"/>

</file>

<file path=docProps/app.xml><?xml version="1.0" encoding="utf-8"?>
<Properties xmlns="http://schemas.openxmlformats.org/officeDocument/2006/extended-properties" xmlns:vt="http://schemas.openxmlformats.org/officeDocument/2006/docPropsVTypes">
  <Application>OpenAI Codex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Otaku Haven Strategic Document</dc:title>
  <dc:creator>OpenAI Codex</dc:creator>
  <cp:lastModifiedBy>OpenAI Codex</cp:lastModifiedBy>
  <dcterms:created xsi:type="dcterms:W3CDTF">2026-04-25T20:55:38Z</dcterms:created>
  <dcterms:modified xsi:type="dcterms:W3CDTF">2026-04-25T20:55:38Z</dcterms:modified>
</cp:coreProperties>
</file>