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Title"/>
      </w:pPr>
      <w:r>
        <w:t xml:space="preserve">Executive Summary</w:t>
      </w:r>
    </w:p>
    <w:p>
      <w:pPr>
        <w:pStyle w:val="Heading1"/>
      </w:pPr>
      <w:r>
        <w:t xml:space="preserve">1. Business Concept</w:t>
      </w:r>
    </w:p>
    <w:p>
      <w:pPr>
        <w:pStyle w:val="Normal"/>
      </w:pPr>
      <w:r>
        <w:t xml:space="preserve">Otaku Haven LLC, doing business as Otaku Haven, is a Texas LLC formed on January 8, 2026 (EIN 84-1234567) to open a specialty anime retail store at 2847 S Lamar Blvd, Suite 105, Austin, TX 78704. The concept is a 1,800 square foot, community-forward retail destination scheduled to open on June 1, 2026, with a soft opening one week earlier. The store is designed to combine collectible-driven merchandising with a fandom-literate customer experience that feels curated rather than generic.</w:t>
      </w:r>
    </w:p>
    <w:p>
      <w:pPr>
        <w:pStyle w:val="Heading1"/>
      </w:pPr>
      <w:r>
        <w:t xml:space="preserve">2. Market Opportunity</w:t>
      </w:r>
    </w:p>
    <w:p>
      <w:pPr>
        <w:pStyle w:val="Normal"/>
      </w:pPr>
      <w:r>
        <w:t xml:space="preserve">Austin supports a strong overlap of anime enthusiasts, manga readers, collectors, casual fans, and gift buyers who already spend across conventions, streaming-adjacent fandom culture, and specialty retail. South Lamar gives Otaku Haven a location with established foot traffic, destination retail behavior, and proximity to Alamo Drafthouse, which reinforces entertainment-oriented trip purpose. The opportunity is not simply to sell product; it is to become the local, reliable place where fandom shoppers can browse, discover new releases, and participate in a recurring community retail experience.</w:t>
      </w:r>
    </w:p>
    <w:p>
      <w:pPr>
        <w:pStyle w:val="Heading1"/>
      </w:pPr>
      <w:r>
        <w:t xml:space="preserve">3. Business Model</w:t>
      </w:r>
    </w:p>
    <w:p>
      <w:pPr>
        <w:pStyle w:val="Normal"/>
      </w:pPr>
      <w:r>
        <w:t xml:space="preserve">Otaku Haven will generate revenue from eight product categories: Figures &amp; Statues, Manga &amp; Light Novels, Apparel, Accessories, Home &amp; Lifestyle, Trading Cards, Media, and a Consignment / Local Creator Section. The model combines in-store sales with online ordering through Square Online at OtakuHaven.store. This two-channel structure allows the business to monetize destination retail traffic while also capturing repeat purchases, event-driven demand, and convenience-driven e-commerce orders from the same customer base.</w:t>
      </w:r>
    </w:p>
    <w:p>
      <w:pPr>
        <w:pStyle w:val="Heading1"/>
      </w:pPr>
      <w:r>
        <w:t xml:space="preserve">4. Financial Highlights</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Metric</w:t>
            </w:r>
          </w:p>
        </w:tc>
        <w:tc>
          <w:tcPr>
            <w:shd w:val="clear" w:color="auto" w:fill="E9ECEF"/>
          </w:tcPr>
          <w:p>
            <w:pPr>
              <w:pStyle w:val="TableHeader"/>
            </w:pPr>
            <w:r>
              <w:t xml:space="preserve">Value</w:t>
            </w:r>
          </w:p>
        </w:tc>
      </w:tr>
      <w:tr>
        <w:tc>
          <w:tcPr/>
          <w:p>
            <w:pPr>
              <w:pStyle w:val="TableText"/>
            </w:pPr>
            <w:r>
              <w:t xml:space="preserve">Year 1 projected revenue (June-December 2026)</w:t>
            </w:r>
          </w:p>
        </w:tc>
        <w:tc>
          <w:tcPr/>
          <w:p>
            <w:pPr>
              <w:pStyle w:val="TableText"/>
            </w:pPr>
            <w:r>
              <w:t xml:space="preserve">$293,355.00</w:t>
            </w:r>
          </w:p>
        </w:tc>
      </w:tr>
      <w:tr>
        <w:tc>
          <w:tcPr/>
          <w:p>
            <w:pPr>
              <w:pStyle w:val="TableText"/>
            </w:pPr>
            <w:r>
              <w:t xml:space="preserve">Year 2 projected revenue (2027)</w:t>
            </w:r>
          </w:p>
        </w:tc>
        <w:tc>
          <w:tcPr/>
          <w:p>
            <w:pPr>
              <w:pStyle w:val="TableText"/>
            </w:pPr>
            <w:r>
              <w:t xml:space="preserve">$697,936.93</w:t>
            </w:r>
          </w:p>
        </w:tc>
      </w:tr>
      <w:tr>
        <w:tc>
          <w:tcPr/>
          <w:p>
            <w:pPr>
              <w:pStyle w:val="TableText"/>
            </w:pPr>
            <w:r>
              <w:t xml:space="preserve">Year 3 projected revenue (2028)</w:t>
            </w:r>
          </w:p>
        </w:tc>
        <w:tc>
          <w:tcPr/>
          <w:p>
            <w:pPr>
              <w:pStyle w:val="TableText"/>
            </w:pPr>
            <w:r>
              <w:t xml:space="preserve">$781,689.36</w:t>
            </w:r>
          </w:p>
        </w:tc>
      </w:tr>
      <w:tr>
        <w:tc>
          <w:tcPr/>
          <w:p>
            <w:pPr>
              <w:pStyle w:val="TableText"/>
            </w:pPr>
            <w:r>
              <w:t xml:space="preserve">Year 5 projected revenue (2030)</w:t>
            </w:r>
          </w:p>
        </w:tc>
        <w:tc>
          <w:tcPr/>
          <w:p>
            <w:pPr>
              <w:pStyle w:val="TableText"/>
            </w:pPr>
            <w:r>
              <w:t xml:space="preserve">$894,877.98</w:t>
            </w:r>
          </w:p>
        </w:tc>
      </w:tr>
      <w:tr>
        <w:tc>
          <w:tcPr/>
          <w:p>
            <w:pPr>
              <w:pStyle w:val="TableText"/>
            </w:pPr>
            <w:r>
              <w:t xml:space="preserve">Year 1 gross margin</w:t>
            </w:r>
          </w:p>
        </w:tc>
        <w:tc>
          <w:tcPr/>
          <w:p>
            <w:pPr>
              <w:pStyle w:val="TableText"/>
            </w:pPr>
            <w:r>
              <w:t xml:space="preserve">50.0%</w:t>
            </w:r>
          </w:p>
        </w:tc>
      </w:tr>
      <w:tr>
        <w:tc>
          <w:tcPr/>
          <w:p>
            <w:pPr>
              <w:pStyle w:val="TableText"/>
            </w:pPr>
            <w:r>
              <w:t xml:space="preserve">Break-even month</w:t>
            </w:r>
          </w:p>
        </w:tc>
        <w:tc>
          <w:tcPr/>
          <w:p>
            <w:pPr>
              <w:pStyle w:val="TableText"/>
            </w:pPr>
            <w:r>
              <w:t xml:space="preserve">March 2027</w:t>
            </w:r>
          </w:p>
        </w:tc>
      </w:tr>
      <w:tr>
        <w:tc>
          <w:tcPr/>
          <w:p>
            <w:pPr>
              <w:pStyle w:val="TableText"/>
            </w:pPr>
            <w:r>
              <w:t xml:space="preserve">Startup capital required</w:t>
            </w:r>
          </w:p>
        </w:tc>
        <w:tc>
          <w:tcPr/>
          <w:p>
            <w:pPr>
              <w:pStyle w:val="TableText"/>
            </w:pPr>
            <w:r>
              <w:t xml:space="preserve">$250,000.00</w:t>
            </w:r>
          </w:p>
        </w:tc>
      </w:tr>
      <w:tr>
        <w:tc>
          <w:tcPr/>
          <w:p>
            <w:pPr>
              <w:pStyle w:val="TableText"/>
            </w:pPr>
            <w:r>
              <w:t xml:space="preserve">Total available capital</w:t>
            </w:r>
          </w:p>
        </w:tc>
        <w:tc>
          <w:tcPr/>
          <w:p>
            <w:pPr>
              <w:pStyle w:val="TableText"/>
            </w:pPr>
            <w:r>
              <w:t xml:space="preserve">$274,000.00</w:t>
            </w:r>
          </w:p>
        </w:tc>
      </w:tr>
    </w:tbl>
    <w:p>
      <w:pPr>
        <w:pStyle w:val="Normal"/>
      </w:pPr>
      <w:r>
        <w:t xml:space="preserve">The model shows a controlled launch-year ramp followed by a full-year stabilization period in 2027. The revenue profile is strongest in late-year seasonal months, while the funding plan preserves enough capital to sustain operations through the pre-profitability period without requiring unmodeled financing.</w:t>
      </w:r>
    </w:p>
    <w:p>
      <w:pPr>
        <w:pStyle w:val="Heading1"/>
      </w:pPr>
      <w:r>
        <w:t xml:space="preserve">5. Ownership and Team</w:t>
      </w:r>
    </w:p>
    <w:p>
      <w:pPr>
        <w:pStyle w:val="Normal"/>
      </w:pPr>
      <w:r>
        <w:t xml:space="preserve">Ownership is structured as 40% James Whitfield, Managing Member; 35% Kelli Nakamura, Member and Operations Lead; and 25% reserved for a future investor or strategic partner. The operating plan is built around an 8-person store team consisting of one Store Manager, one Assistant Manager, two Key Holders, and four Sales Associates. That staffing mix supports knowledgeable floor coverage, merchandising upkeep, event execution, and online order handling without relying on an oversized payroll model in the launch period.</w:t>
      </w:r>
    </w:p>
    <w:p>
      <w:pPr>
        <w:pStyle w:val="Heading1"/>
      </w:pPr>
      <w:r>
        <w:t xml:space="preserve">6. The Ask</w:t>
      </w:r>
    </w:p>
    <w:p>
      <w:pPr>
        <w:pStyle w:val="Normal"/>
      </w:pPr>
      <w:r>
        <w:t xml:space="preserve">The investor opportunity is the reserved 25% equity position in Otaku Haven LLC. This is structured as an ownership stake in a Texas LLC and is presented as a ground-floor entry point into a purpose-built community retail operation with both in-store and online revenue channels. The opportunity is intentionally framed around participation in the company's growth, local brand development, and long-term community value creation rather than around a stated valuation, unit price, or fixed investment amount.</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Times New Roman" w:hAnsi="Times New Roman"/>
        <w:sz w:val="24"/>
        <w:szCs w:val="24"/>
      </w:rPr>
    </w:rPrDefault>
    <w:pPrDefault>
      <w:pPr>
        <w:spacing w:after="120" w:line="300" w:lineRule="auto"/>
      </w:pPr>
    </w:pPrDefault>
  </w:docDefaults>
  <w:style w:type="paragraph" w:default="1" w:styleId="Normal">
    <w:name w:val="Normal"/>
    <w:qFormat/>
  </w:style>
  <w:style w:type="paragraph" w:styleId="Title">
    <w:name w:val="Title"/>
    <w:basedOn w:val="Normal"/>
    <w:qFormat/>
    <w:pPr>
      <w:spacing w:after="240"/>
    </w:pPr>
    <w:rPr>
      <w:b/>
      <w:sz w:val="32"/>
      <w:szCs w:val="32"/>
    </w:rPr>
  </w:style>
  <w:style w:type="paragraph" w:styleId="Heading1">
    <w:name w:val="Heading 1"/>
    <w:basedOn w:val="Normal"/>
    <w:qFormat/>
    <w:pPr>
      <w:spacing w:before="240" w:after="120"/>
    </w:pPr>
    <w:rPr>
      <w:b/>
      <w:sz w:val="28"/>
      <w:szCs w:val="28"/>
    </w:rPr>
  </w:style>
  <w:style w:type="paragraph" w:styleId="Heading2">
    <w:name w:val="Heading 2"/>
    <w:basedOn w:val="Normal"/>
    <w:qFormat/>
    <w:pPr>
      <w:spacing w:before="180" w:after="80"/>
    </w:pPr>
    <w:rPr>
      <w:b/>
      <w:sz w:val="24"/>
      <w:szCs w:val="24"/>
    </w:rPr>
  </w:style>
  <w:style w:type="paragraph" w:styleId="TableHeader">
    <w:name w:val="Table Header"/>
    <w:basedOn w:val="Normal"/>
    <w:rPr>
      <w:b/>
      <w:sz w:val="20"/>
      <w:szCs w:val="20"/>
    </w:rPr>
  </w:style>
  <w:style w:type="paragraph" w:styleId="TableText">
    <w:name w:val="Table Text"/>
    <w:basedOn w:val="Normal"/>
    <w:rPr>
      <w:sz w:val="20"/>
      <w:szCs w:val="20"/>
    </w:rPr>
  </w:style>
</w:styles>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OpenAI Codex</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Otaku Haven Strategic Document</dc:title>
  <dc:creator>OpenAI Codex</dc:creator>
  <cp:lastModifiedBy>OpenAI Codex</cp:lastModifiedBy>
  <dcterms:created xsi:type="dcterms:W3CDTF">2026-04-25T20:55:38Z</dcterms:created>
  <dcterms:modified xsi:type="dcterms:W3CDTF">2026-04-25T20:55:38Z</dcterms:modified>
</cp:coreProperties>
</file>