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spacing w:after="60"/>
        <w:jc w:val="center"/>
      </w:pPr>
      <w:r>
        <w:rPr>
          <w:rFonts w:ascii="Space Grotesk" w:hAnsi="Space Grotesk" w:cs="Space Grotesk" w:eastAsia="Space Grotesk"/>
          <w:b/>
          <w:color w:val="122033"/>
          <w:sz w:val="48"/>
        </w:rPr>
        <w:t>Otaku Haven LLC</w:t>
      </w:r>
    </w:p>
    <w:p>
      <w:pPr>
        <w:pStyle w:val="Heading1"/>
        <w:spacing w:after="60"/>
        <w:jc w:val="center"/>
      </w:pPr>
      <w:r>
        <w:rPr>
          <w:rFonts w:ascii="Space Grotesk" w:hAnsi="Space Grotesk" w:cs="Space Grotesk" w:eastAsia="Space Grotesk"/>
          <w:b/>
          <w:color w:val="122033"/>
          <w:sz w:val="32"/>
        </w:rPr>
        <w:t>Business Plan</w:t>
      </w:r>
    </w:p>
    <w:p>
      <w:pPr>
        <w:spacing w:after="60"/>
        <w:jc w:val="center"/>
      </w:pPr>
      <w:r>
        <w:rPr>
          <w:rFonts w:ascii="Source Sans 3" w:hAnsi="Source Sans 3" w:cs="Source Sans 3" w:eastAsia="Source Sans 3"/>
          <w:b w:val="0"/>
          <w:color w:val="1B1B1B"/>
          <w:sz w:val="22"/>
        </w:rPr>
        <w:t>Otaku Haven | 2847 S Lamar Blvd, Suite 105, Austin, TX 78704</w:t>
      </w:r>
    </w:p>
    <w:p>
      <w:pPr>
        <w:spacing w:after="60"/>
        <w:jc w:val="center"/>
      </w:pPr>
      <w:r>
        <w:rPr>
          <w:rFonts w:ascii="Source Sans 3" w:hAnsi="Source Sans 3" w:cs="Source Sans 3" w:eastAsia="Source Sans 3"/>
          <w:b w:val="0"/>
          <w:color w:val="1B1B1B"/>
          <w:sz w:val="22"/>
        </w:rPr>
        <w:t>Prepared for prospective investors | April 25, 2026</w:t>
      </w:r>
    </w:p>
    <w:p>
      <w:pPr>
        <w:spacing w:after="360"/>
        <w:jc w:val="center"/>
      </w:pPr>
      <w:r>
        <w:rPr>
          <w:rFonts w:ascii="Source Sans 3" w:hAnsi="Source Sans 3" w:cs="Source Sans 3" w:eastAsia="Source Sans 3"/>
          <w:b w:val="0"/>
          <w:color w:val="1B1B1B"/>
          <w:sz w:val="22"/>
        </w:rPr>
        <w:t>This plan synthesizes the company reference data, operating agreement, cap table, executive summary, financial model, competitive analysis, risk assessment, marketing plan, and brand direction into a single investor-ready narrative.</w:t>
      </w:r>
    </w:p>
    <w:p>
      <w:r>
        <w:br w:type="page"/>
      </w:r>
    </w:p>
    <w:p>
      <w:pPr>
        <w:pStyle w:val="Heading1"/>
        <w:spacing w:after="120"/>
      </w:pPr>
      <w:r>
        <w:rPr>
          <w:rFonts w:ascii="Space Grotesk" w:hAnsi="Space Grotesk" w:cs="Space Grotesk" w:eastAsia="Space Grotesk"/>
          <w:b/>
          <w:color w:val="122033"/>
          <w:sz w:val="32"/>
        </w:rPr>
        <w:t>Table of Contents</w:t>
      </w:r>
    </w:p>
    <w:p>
      <w:pPr>
        <w:spacing w:after="40"/>
      </w:pPr>
      <w:r>
        <w:rPr>
          <w:rFonts w:ascii="Source Sans 3" w:hAnsi="Source Sans 3" w:cs="Source Sans 3" w:eastAsia="Source Sans 3"/>
          <w:b w:val="0"/>
          <w:color w:val="1B1B1B"/>
          <w:sz w:val="22"/>
        </w:rPr>
        <w:t>1. Executive Summary</w:t>
      </w:r>
    </w:p>
    <w:p>
      <w:pPr>
        <w:spacing w:after="40"/>
      </w:pPr>
      <w:r>
        <w:rPr>
          <w:rFonts w:ascii="Source Sans 3" w:hAnsi="Source Sans 3" w:cs="Source Sans 3" w:eastAsia="Source Sans 3"/>
          <w:b w:val="0"/>
          <w:color w:val="1B1B1B"/>
          <w:sz w:val="22"/>
        </w:rPr>
        <w:t>2. Company Description</w:t>
      </w:r>
    </w:p>
    <w:p>
      <w:pPr>
        <w:spacing w:after="40"/>
      </w:pPr>
      <w:r>
        <w:rPr>
          <w:rFonts w:ascii="Source Sans 3" w:hAnsi="Source Sans 3" w:cs="Source Sans 3" w:eastAsia="Source Sans 3"/>
          <w:b w:val="0"/>
          <w:color w:val="1B1B1B"/>
          <w:sz w:val="22"/>
        </w:rPr>
        <w:t>3. Market Analysis</w:t>
      </w:r>
    </w:p>
    <w:p>
      <w:pPr>
        <w:spacing w:after="40"/>
      </w:pPr>
      <w:r>
        <w:rPr>
          <w:rFonts w:ascii="Source Sans 3" w:hAnsi="Source Sans 3" w:cs="Source Sans 3" w:eastAsia="Source Sans 3"/>
          <w:b w:val="0"/>
          <w:color w:val="1B1B1B"/>
          <w:sz w:val="22"/>
        </w:rPr>
        <w:t>4. Competitive Landscape</w:t>
      </w:r>
    </w:p>
    <w:p>
      <w:pPr>
        <w:spacing w:after="40"/>
      </w:pPr>
      <w:r>
        <w:rPr>
          <w:rFonts w:ascii="Source Sans 3" w:hAnsi="Source Sans 3" w:cs="Source Sans 3" w:eastAsia="Source Sans 3"/>
          <w:b w:val="0"/>
          <w:color w:val="1B1B1B"/>
          <w:sz w:val="22"/>
        </w:rPr>
        <w:t>5. Products and Services</w:t>
      </w:r>
    </w:p>
    <w:p>
      <w:pPr>
        <w:spacing w:after="40"/>
      </w:pPr>
      <w:r>
        <w:rPr>
          <w:rFonts w:ascii="Source Sans 3" w:hAnsi="Source Sans 3" w:cs="Source Sans 3" w:eastAsia="Source Sans 3"/>
          <w:b w:val="0"/>
          <w:color w:val="1B1B1B"/>
          <w:sz w:val="22"/>
        </w:rPr>
        <w:t>6. Marketing and Sales Strategy</w:t>
      </w:r>
    </w:p>
    <w:p>
      <w:pPr>
        <w:spacing w:after="40"/>
      </w:pPr>
      <w:r>
        <w:rPr>
          <w:rFonts w:ascii="Source Sans 3" w:hAnsi="Source Sans 3" w:cs="Source Sans 3" w:eastAsia="Source Sans 3"/>
          <w:b w:val="0"/>
          <w:color w:val="1B1B1B"/>
          <w:sz w:val="22"/>
        </w:rPr>
        <w:t>7. Operations Plan</w:t>
      </w:r>
    </w:p>
    <w:p>
      <w:pPr>
        <w:spacing w:after="40"/>
      </w:pPr>
      <w:r>
        <w:rPr>
          <w:rFonts w:ascii="Source Sans 3" w:hAnsi="Source Sans 3" w:cs="Source Sans 3" w:eastAsia="Source Sans 3"/>
          <w:b w:val="0"/>
          <w:color w:val="1B1B1B"/>
          <w:sz w:val="22"/>
        </w:rPr>
        <w:t>8. Management and Organization</w:t>
      </w:r>
    </w:p>
    <w:p>
      <w:pPr>
        <w:spacing w:after="40"/>
      </w:pPr>
      <w:r>
        <w:rPr>
          <w:rFonts w:ascii="Source Sans 3" w:hAnsi="Source Sans 3" w:cs="Source Sans 3" w:eastAsia="Source Sans 3"/>
          <w:b w:val="0"/>
          <w:color w:val="1B1B1B"/>
          <w:sz w:val="22"/>
        </w:rPr>
        <w:t>9. SWOT Analysis</w:t>
      </w:r>
    </w:p>
    <w:p>
      <w:pPr>
        <w:spacing w:after="40"/>
      </w:pPr>
      <w:r>
        <w:rPr>
          <w:rFonts w:ascii="Source Sans 3" w:hAnsi="Source Sans 3" w:cs="Source Sans 3" w:eastAsia="Source Sans 3"/>
          <w:b w:val="0"/>
          <w:color w:val="1B1B1B"/>
          <w:sz w:val="22"/>
        </w:rPr>
        <w:t>10. Financial Plan</w:t>
      </w:r>
    </w:p>
    <w:p>
      <w:pPr>
        <w:spacing w:after="40"/>
      </w:pPr>
      <w:r>
        <w:rPr>
          <w:rFonts w:ascii="Source Sans 3" w:hAnsi="Source Sans 3" w:cs="Source Sans 3" w:eastAsia="Source Sans 3"/>
          <w:b w:val="0"/>
          <w:color w:val="1B1B1B"/>
          <w:sz w:val="22"/>
        </w:rPr>
        <w:t>11. Use of Funds</w:t>
      </w:r>
    </w:p>
    <w:p>
      <w:pPr>
        <w:spacing w:after="40"/>
      </w:pPr>
      <w:r>
        <w:rPr>
          <w:rFonts w:ascii="Source Sans 3" w:hAnsi="Source Sans 3" w:cs="Source Sans 3" w:eastAsia="Source Sans 3"/>
          <w:b w:val="0"/>
          <w:color w:val="1B1B1B"/>
          <w:sz w:val="22"/>
        </w:rPr>
        <w:t>12. Risk Factors</w:t>
      </w:r>
    </w:p>
    <w:p>
      <w:pPr>
        <w:spacing w:after="40"/>
      </w:pPr>
      <w:r>
        <w:rPr>
          <w:rFonts w:ascii="Source Sans 3" w:hAnsi="Source Sans 3" w:cs="Source Sans 3" w:eastAsia="Source Sans 3"/>
          <w:b w:val="0"/>
          <w:color w:val="1B1B1B"/>
          <w:sz w:val="22"/>
        </w:rPr>
        <w:t>13. Appendices</w:t>
      </w:r>
    </w:p>
    <w:p>
      <w:r>
        <w:br w:type="page"/>
      </w:r>
    </w:p>
    <w:p>
      <w:pPr>
        <w:pStyle w:val="Heading1"/>
        <w:spacing w:after="120"/>
      </w:pPr>
      <w:r>
        <w:rPr>
          <w:rFonts w:ascii="Space Grotesk" w:hAnsi="Space Grotesk" w:cs="Space Grotesk" w:eastAsia="Space Grotesk"/>
          <w:b/>
          <w:color w:val="122033"/>
          <w:sz w:val="32"/>
        </w:rPr>
        <w:t>1. Executive Summary</w:t>
      </w:r>
    </w:p>
    <w:p>
      <w:pPr>
        <w:spacing w:after="120"/>
      </w:pPr>
      <w:r>
        <w:rPr>
          <w:rFonts w:ascii="Source Sans 3" w:hAnsi="Source Sans 3" w:cs="Source Sans 3" w:eastAsia="Source Sans 3"/>
          <w:b w:val="0"/>
          <w:color w:val="1B1B1B"/>
          <w:sz w:val="22"/>
        </w:rPr>
        <w:t>Otaku Haven LLC, doing business as Otaku Haven, is a Texas LLC formed on January 8, 2026 to open a 1,800 square foot specialty anime retail store at 2847 S Lamar Blvd, Suite 105, Austin, TX 78704. The concept combines curated specialist merchandising, an approachable fandom-literate customer experience, and a community-forward physical store supported by Square Online at OtakuHaven.store. The opening plan targets a May 25, 2026 soft opening and a June 1, 2026 grand opening.</w:t>
      </w:r>
    </w:p>
    <w:p>
      <w:pPr>
        <w:spacing w:after="120"/>
      </w:pPr>
      <w:r>
        <w:rPr>
          <w:rFonts w:ascii="Source Sans 3" w:hAnsi="Source Sans 3" w:cs="Source Sans 3" w:eastAsia="Source Sans 3"/>
          <w:b w:val="0"/>
          <w:color w:val="1B1B1B"/>
          <w:sz w:val="22"/>
        </w:rPr>
        <w:t>The investor case is built around a hybrid retail model that monetizes both destination traffic and repeat online purchasing across eight product categories: Figures &amp; Statues, Manga &amp; Light Novels, Apparel, Accessories, Home &amp; Lifestyle, Trading Cards, Media, and a Consignment / Local Creator Section. South Lamar provides a location with established foot traffic and entertainment-oriented trip behavior, while the brand positioning emphasizes knowledgeable service, curation, and recurring community engagement rather than commodity retail.</w:t>
      </w:r>
    </w:p>
    <w:p>
      <w:pPr>
        <w:spacing w:after="120"/>
      </w:pPr>
      <w:r>
        <w:rPr>
          <w:rFonts w:ascii="Source Sans 3" w:hAnsi="Source Sans 3" w:cs="Source Sans 3" w:eastAsia="Source Sans 3"/>
          <w:b w:val="0"/>
          <w:color w:val="1B1B1B"/>
          <w:sz w:val="22"/>
        </w:rPr>
        <w:t>Financially, the model projects $293,355.00 in Year 1 revenue for the June through December 2026 operating period, $697,936.93 in Year 2 revenue, $781,689.36 in Year 3 revenue, and $894,877.98 in Year 5 revenue. Year 1 gross margin is 50.0%, the model identifies March 2027 as the first positive operating month, and total startup capital required is $250,000.00. Total available capital in Year 1, including monthly owner contributions, is $274,000.00.</w:t>
      </w:r>
    </w:p>
    <w:p>
      <w:pPr>
        <w:spacing w:after="120"/>
      </w:pPr>
      <w:r>
        <w:rPr>
          <w:rFonts w:ascii="Source Sans 3" w:hAnsi="Source Sans 3" w:cs="Source Sans 3" w:eastAsia="Source Sans 3"/>
          <w:b w:val="0"/>
          <w:color w:val="1B1B1B"/>
          <w:sz w:val="22"/>
        </w:rPr>
        <w:t>Ownership is 40% James Whitfield as Managing Member, 35% Kelli Nakamura as Member and Operations Lead, and 25% reserved for a future investor or strategic partner. The investor opportunity is participation in that reserved 25% equity block in a company with a signed lease, a funded startup budget, a defined go-to-market plan, and an operating model built around curated retail plus community retention.</w:t>
      </w:r>
    </w:p>
    <w:tbl>
      <w:tblPr>
        <w:tblStyle w:val="TableGrid"/>
        <w:tblW w:type="auto" w:w="0"/>
        <w:jc w:val="center"/>
        <w:tblLook w:firstColumn="1" w:firstRow="1" w:lastColumn="0" w:lastRow="0" w:noHBand="0" w:noVBand="1" w:val="04A0"/>
      </w:tblPr>
      <w:tblGrid>
        <w:gridCol w:w="4968"/>
        <w:gridCol w:w="4968"/>
      </w:tblGrid>
      <w:tr>
        <w:tc>
          <w:tcPr>
            <w:tcW w:type="dxa" w:w="6912"/>
            <w:vAlign w:val="center"/>
            <w:shd w:fill="122033"/>
          </w:tcPr>
          <w:p>
            <w:pPr>
              <w:jc w:val="center"/>
            </w:pPr>
            <w:r/>
            <w:r>
              <w:rPr>
                <w:rFonts w:ascii="Space Grotesk" w:hAnsi="Space Grotesk" w:cs="Space Grotesk" w:eastAsia="Space Grotesk"/>
                <w:b/>
                <w:color w:val="F7F4EE"/>
                <w:sz w:val="21"/>
              </w:rPr>
              <w:t>Metric</w:t>
            </w:r>
          </w:p>
        </w:tc>
        <w:tc>
          <w:tcPr>
            <w:tcW w:type="dxa" w:w="2592"/>
            <w:vAlign w:val="center"/>
            <w:shd w:fill="122033"/>
          </w:tcPr>
          <w:p>
            <w:pPr>
              <w:jc w:val="center"/>
            </w:pPr>
            <w:r/>
            <w:r>
              <w:rPr>
                <w:rFonts w:ascii="Space Grotesk" w:hAnsi="Space Grotesk" w:cs="Space Grotesk" w:eastAsia="Space Grotesk"/>
                <w:b/>
                <w:color w:val="F7F4EE"/>
                <w:sz w:val="21"/>
              </w:rPr>
              <w:t>Value</w:t>
            </w:r>
          </w:p>
        </w:tc>
      </w:tr>
      <w:tr>
        <w:tc>
          <w:tcPr>
            <w:tcW w:type="dxa" w:w="6912"/>
            <w:vAlign w:val="top"/>
          </w:tcPr>
          <w:p>
            <w:pPr>
              <w:spacing w:after="40"/>
            </w:pPr>
            <w:r/>
            <w:r>
              <w:rPr>
                <w:rFonts w:ascii="Source Sans 3" w:hAnsi="Source Sans 3" w:cs="Source Sans 3" w:eastAsia="Source Sans 3"/>
                <w:b w:val="0"/>
                <w:color w:val="1B1B1B"/>
                <w:sz w:val="21"/>
              </w:rPr>
              <w:t>Year 1 projected revenue (June-December 2026)</w:t>
            </w:r>
          </w:p>
        </w:tc>
        <w:tc>
          <w:tcPr>
            <w:tcW w:type="dxa" w:w="2592"/>
            <w:vAlign w:val="top"/>
          </w:tcPr>
          <w:p>
            <w:pPr>
              <w:spacing w:after="40"/>
            </w:pPr>
            <w:r/>
            <w:r>
              <w:rPr>
                <w:rFonts w:ascii="Source Sans 3" w:hAnsi="Source Sans 3" w:cs="Source Sans 3" w:eastAsia="Source Sans 3"/>
                <w:b w:val="0"/>
                <w:color w:val="1B1B1B"/>
                <w:sz w:val="21"/>
              </w:rPr>
              <w:t>$293,355.00</w:t>
            </w:r>
          </w:p>
        </w:tc>
      </w:tr>
      <w:tr>
        <w:tc>
          <w:tcPr>
            <w:tcW w:type="dxa" w:w="6912"/>
            <w:vAlign w:val="top"/>
          </w:tcPr>
          <w:p>
            <w:pPr>
              <w:spacing w:after="40"/>
            </w:pPr>
            <w:r/>
            <w:r>
              <w:rPr>
                <w:rFonts w:ascii="Source Sans 3" w:hAnsi="Source Sans 3" w:cs="Source Sans 3" w:eastAsia="Source Sans 3"/>
                <w:b w:val="0"/>
                <w:color w:val="1B1B1B"/>
                <w:sz w:val="21"/>
              </w:rPr>
              <w:t>Year 2 projected revenue (2027)</w:t>
            </w:r>
          </w:p>
        </w:tc>
        <w:tc>
          <w:tcPr>
            <w:tcW w:type="dxa" w:w="2592"/>
            <w:vAlign w:val="top"/>
          </w:tcPr>
          <w:p>
            <w:pPr>
              <w:spacing w:after="40"/>
            </w:pPr>
            <w:r/>
            <w:r>
              <w:rPr>
                <w:rFonts w:ascii="Source Sans 3" w:hAnsi="Source Sans 3" w:cs="Source Sans 3" w:eastAsia="Source Sans 3"/>
                <w:b w:val="0"/>
                <w:color w:val="1B1B1B"/>
                <w:sz w:val="21"/>
              </w:rPr>
              <w:t>$697,936.93</w:t>
            </w:r>
          </w:p>
        </w:tc>
      </w:tr>
      <w:tr>
        <w:tc>
          <w:tcPr>
            <w:tcW w:type="dxa" w:w="6912"/>
            <w:vAlign w:val="top"/>
          </w:tcPr>
          <w:p>
            <w:pPr>
              <w:spacing w:after="40"/>
            </w:pPr>
            <w:r/>
            <w:r>
              <w:rPr>
                <w:rFonts w:ascii="Source Sans 3" w:hAnsi="Source Sans 3" w:cs="Source Sans 3" w:eastAsia="Source Sans 3"/>
                <w:b w:val="0"/>
                <w:color w:val="1B1B1B"/>
                <w:sz w:val="21"/>
              </w:rPr>
              <w:t>Year 3 projected revenue (2028)</w:t>
            </w:r>
          </w:p>
        </w:tc>
        <w:tc>
          <w:tcPr>
            <w:tcW w:type="dxa" w:w="2592"/>
            <w:vAlign w:val="top"/>
          </w:tcPr>
          <w:p>
            <w:pPr>
              <w:spacing w:after="40"/>
            </w:pPr>
            <w:r/>
            <w:r>
              <w:rPr>
                <w:rFonts w:ascii="Source Sans 3" w:hAnsi="Source Sans 3" w:cs="Source Sans 3" w:eastAsia="Source Sans 3"/>
                <w:b w:val="0"/>
                <w:color w:val="1B1B1B"/>
                <w:sz w:val="21"/>
              </w:rPr>
              <w:t>$781,689.36</w:t>
            </w:r>
          </w:p>
        </w:tc>
      </w:tr>
      <w:tr>
        <w:tc>
          <w:tcPr>
            <w:tcW w:type="dxa" w:w="6912"/>
            <w:vAlign w:val="top"/>
          </w:tcPr>
          <w:p>
            <w:pPr>
              <w:spacing w:after="40"/>
            </w:pPr>
            <w:r/>
            <w:r>
              <w:rPr>
                <w:rFonts w:ascii="Source Sans 3" w:hAnsi="Source Sans 3" w:cs="Source Sans 3" w:eastAsia="Source Sans 3"/>
                <w:b w:val="0"/>
                <w:color w:val="1B1B1B"/>
                <w:sz w:val="21"/>
              </w:rPr>
              <w:t>Year 5 projected revenue (2030)</w:t>
            </w:r>
          </w:p>
        </w:tc>
        <w:tc>
          <w:tcPr>
            <w:tcW w:type="dxa" w:w="2592"/>
            <w:vAlign w:val="top"/>
          </w:tcPr>
          <w:p>
            <w:pPr>
              <w:spacing w:after="40"/>
            </w:pPr>
            <w:r/>
            <w:r>
              <w:rPr>
                <w:rFonts w:ascii="Source Sans 3" w:hAnsi="Source Sans 3" w:cs="Source Sans 3" w:eastAsia="Source Sans 3"/>
                <w:b w:val="0"/>
                <w:color w:val="1B1B1B"/>
                <w:sz w:val="21"/>
              </w:rPr>
              <w:t>$894,877.98</w:t>
            </w:r>
          </w:p>
        </w:tc>
      </w:tr>
      <w:tr>
        <w:tc>
          <w:tcPr>
            <w:tcW w:type="dxa" w:w="6912"/>
            <w:vAlign w:val="top"/>
          </w:tcPr>
          <w:p>
            <w:pPr>
              <w:spacing w:after="40"/>
            </w:pPr>
            <w:r/>
            <w:r>
              <w:rPr>
                <w:rFonts w:ascii="Source Sans 3" w:hAnsi="Source Sans 3" w:cs="Source Sans 3" w:eastAsia="Source Sans 3"/>
                <w:b w:val="0"/>
                <w:color w:val="1B1B1B"/>
                <w:sz w:val="21"/>
              </w:rPr>
              <w:t>Year 1 gross margin</w:t>
            </w:r>
          </w:p>
        </w:tc>
        <w:tc>
          <w:tcPr>
            <w:tcW w:type="dxa" w:w="2592"/>
            <w:vAlign w:val="top"/>
          </w:tcPr>
          <w:p>
            <w:pPr>
              <w:spacing w:after="40"/>
            </w:pPr>
            <w:r/>
            <w:r>
              <w:rPr>
                <w:rFonts w:ascii="Source Sans 3" w:hAnsi="Source Sans 3" w:cs="Source Sans 3" w:eastAsia="Source Sans 3"/>
                <w:b w:val="0"/>
                <w:color w:val="1B1B1B"/>
                <w:sz w:val="21"/>
              </w:rPr>
              <w:t>50.0%</w:t>
            </w:r>
          </w:p>
        </w:tc>
      </w:tr>
      <w:tr>
        <w:tc>
          <w:tcPr>
            <w:tcW w:type="dxa" w:w="6912"/>
            <w:vAlign w:val="top"/>
          </w:tcPr>
          <w:p>
            <w:pPr>
              <w:spacing w:after="40"/>
            </w:pPr>
            <w:r/>
            <w:r>
              <w:rPr>
                <w:rFonts w:ascii="Source Sans 3" w:hAnsi="Source Sans 3" w:cs="Source Sans 3" w:eastAsia="Source Sans 3"/>
                <w:b w:val="0"/>
                <w:color w:val="1B1B1B"/>
                <w:sz w:val="21"/>
              </w:rPr>
              <w:t>Break-even month</w:t>
            </w:r>
          </w:p>
        </w:tc>
        <w:tc>
          <w:tcPr>
            <w:tcW w:type="dxa" w:w="2592"/>
            <w:vAlign w:val="top"/>
          </w:tcPr>
          <w:p>
            <w:pPr>
              <w:spacing w:after="40"/>
            </w:pPr>
            <w:r/>
            <w:r>
              <w:rPr>
                <w:rFonts w:ascii="Source Sans 3" w:hAnsi="Source Sans 3" w:cs="Source Sans 3" w:eastAsia="Source Sans 3"/>
                <w:b w:val="0"/>
                <w:color w:val="1B1B1B"/>
                <w:sz w:val="21"/>
              </w:rPr>
              <w:t>March 2027</w:t>
            </w:r>
          </w:p>
        </w:tc>
      </w:tr>
      <w:tr>
        <w:tc>
          <w:tcPr>
            <w:tcW w:type="dxa" w:w="6912"/>
            <w:vAlign w:val="top"/>
          </w:tcPr>
          <w:p>
            <w:pPr>
              <w:spacing w:after="40"/>
            </w:pPr>
            <w:r/>
            <w:r>
              <w:rPr>
                <w:rFonts w:ascii="Source Sans 3" w:hAnsi="Source Sans 3" w:cs="Source Sans 3" w:eastAsia="Source Sans 3"/>
                <w:b w:val="0"/>
                <w:color w:val="1B1B1B"/>
                <w:sz w:val="21"/>
              </w:rPr>
              <w:t>Startup capital required</w:t>
            </w:r>
          </w:p>
        </w:tc>
        <w:tc>
          <w:tcPr>
            <w:tcW w:type="dxa" w:w="2592"/>
            <w:vAlign w:val="top"/>
          </w:tcPr>
          <w:p>
            <w:pPr>
              <w:spacing w:after="40"/>
            </w:pPr>
            <w:r/>
            <w:r>
              <w:rPr>
                <w:rFonts w:ascii="Source Sans 3" w:hAnsi="Source Sans 3" w:cs="Source Sans 3" w:eastAsia="Source Sans 3"/>
                <w:b w:val="0"/>
                <w:color w:val="1B1B1B"/>
                <w:sz w:val="21"/>
              </w:rPr>
              <w:t>$250,000.00</w:t>
            </w:r>
          </w:p>
        </w:tc>
      </w:tr>
      <w:tr>
        <w:tc>
          <w:tcPr>
            <w:tcW w:type="dxa" w:w="6912"/>
            <w:vAlign w:val="top"/>
          </w:tcPr>
          <w:p>
            <w:pPr>
              <w:spacing w:after="40"/>
            </w:pPr>
            <w:r/>
            <w:r>
              <w:rPr>
                <w:rFonts w:ascii="Source Sans 3" w:hAnsi="Source Sans 3" w:cs="Source Sans 3" w:eastAsia="Source Sans 3"/>
                <w:b w:val="0"/>
                <w:color w:val="1B1B1B"/>
                <w:sz w:val="21"/>
              </w:rPr>
              <w:t>Total available capital</w:t>
            </w:r>
          </w:p>
        </w:tc>
        <w:tc>
          <w:tcPr>
            <w:tcW w:type="dxa" w:w="2592"/>
            <w:vAlign w:val="top"/>
          </w:tcPr>
          <w:p>
            <w:pPr>
              <w:spacing w:after="40"/>
            </w:pPr>
            <w:r/>
            <w:r>
              <w:rPr>
                <w:rFonts w:ascii="Source Sans 3" w:hAnsi="Source Sans 3" w:cs="Source Sans 3" w:eastAsia="Source Sans 3"/>
                <w:b w:val="0"/>
                <w:color w:val="1B1B1B"/>
                <w:sz w:val="21"/>
              </w:rPr>
              <w:t>$274,000.00</w:t>
            </w:r>
          </w:p>
        </w:tc>
      </w:tr>
    </w:tbl>
    <w:p/>
    <w:p>
      <w:pPr>
        <w:pStyle w:val="Heading1"/>
        <w:spacing w:after="120"/>
      </w:pPr>
      <w:r>
        <w:rPr>
          <w:rFonts w:ascii="Space Grotesk" w:hAnsi="Space Grotesk" w:cs="Space Grotesk" w:eastAsia="Space Grotesk"/>
          <w:b/>
          <w:color w:val="122033"/>
          <w:sz w:val="32"/>
        </w:rPr>
        <w:t>2. Company Description</w:t>
      </w:r>
    </w:p>
    <w:p>
      <w:pPr>
        <w:spacing w:after="120"/>
      </w:pPr>
      <w:r>
        <w:rPr>
          <w:rFonts w:ascii="Source Sans 3" w:hAnsi="Source Sans 3" w:cs="Source Sans 3" w:eastAsia="Source Sans 3"/>
          <w:b w:val="0"/>
          <w:color w:val="1B1B1B"/>
          <w:sz w:val="22"/>
        </w:rPr>
        <w:t>Otaku Haven LLC is a member-managed Texas LLC formed on January 8, 2026, with EIN 84-1234567 and principal offices at 2847 S Lamar Blvd, Suite 105, Austin, TX 78704. The customer-facing trade name is Otaku Haven. The company has signed a 3-year NNN lease with a 2-year renewal option on an approximately 1,800 square foot South Lamar retail space at rent of $3,500 per month.</w:t>
      </w:r>
    </w:p>
    <w:p>
      <w:pPr>
        <w:spacing w:after="120"/>
      </w:pPr>
      <w:r>
        <w:rPr>
          <w:rFonts w:ascii="Source Sans 3" w:hAnsi="Source Sans 3" w:cs="Source Sans 3" w:eastAsia="Source Sans 3"/>
          <w:b w:val="0"/>
          <w:color w:val="1B1B1B"/>
          <w:sz w:val="22"/>
        </w:rPr>
        <w:t>The concept is intentionally specialist: a curated anime retail store designed to feel knowledgeable, approachable, and community-driven rather than generic. The store is built to serve collectors, regular fans, and gift buyers in one consistent destination by combining licensed product categories, a local creator shelf, and an in-store experience that encourages browsing, discovery, and repeat visits.</w:t>
      </w:r>
    </w:p>
    <w:p>
      <w:pPr>
        <w:spacing w:after="120"/>
      </w:pPr>
      <w:r>
        <w:rPr>
          <w:rFonts w:ascii="Source Sans 3" w:hAnsi="Source Sans 3" w:cs="Source Sans 3" w:eastAsia="Source Sans 3"/>
          <w:b w:val="0"/>
          <w:color w:val="1B1B1B"/>
          <w:sz w:val="22"/>
        </w:rPr>
        <w:t>The Operating Agreement establishes Otaku Haven LLC as a member-managed entity. Routine operations sit with the Managing Member, while major decisions require approval of a majority of issued membership interests. Because only 75% of the cap table is currently issued, both active members must agree on major decisions until the reserved equity block is issued.</w:t>
      </w:r>
    </w:p>
    <w:tbl>
      <w:tblPr>
        <w:tblStyle w:val="TableGrid"/>
        <w:tblW w:type="auto" w:w="0"/>
        <w:jc w:val="center"/>
        <w:tblLook w:firstColumn="1" w:firstRow="1" w:lastColumn="0" w:lastRow="0" w:noHBand="0" w:noVBand="1" w:val="04A0"/>
      </w:tblPr>
      <w:tblGrid>
        <w:gridCol w:w="4968"/>
        <w:gridCol w:w="4968"/>
      </w:tblGrid>
      <w:tr>
        <w:tc>
          <w:tcPr>
            <w:tcW w:type="dxa" w:w="3456"/>
            <w:vAlign w:val="center"/>
            <w:shd w:fill="122033"/>
          </w:tcPr>
          <w:p>
            <w:pPr>
              <w:jc w:val="center"/>
            </w:pPr>
            <w:r/>
            <w:r>
              <w:rPr>
                <w:rFonts w:ascii="Space Grotesk" w:hAnsi="Space Grotesk" w:cs="Space Grotesk" w:eastAsia="Space Grotesk"/>
                <w:b/>
                <w:color w:val="F7F4EE"/>
                <w:sz w:val="21"/>
              </w:rPr>
              <w:t>Company Detail</w:t>
            </w:r>
          </w:p>
        </w:tc>
        <w:tc>
          <w:tcPr>
            <w:tcW w:type="dxa" w:w="6048"/>
            <w:vAlign w:val="center"/>
            <w:shd w:fill="122033"/>
          </w:tcPr>
          <w:p>
            <w:pPr>
              <w:jc w:val="center"/>
            </w:pPr>
            <w:r/>
            <w:r>
              <w:rPr>
                <w:rFonts w:ascii="Space Grotesk" w:hAnsi="Space Grotesk" w:cs="Space Grotesk" w:eastAsia="Space Grotesk"/>
                <w:b/>
                <w:color w:val="F7F4EE"/>
                <w:sz w:val="21"/>
              </w:rPr>
              <w:t>Value</w:t>
            </w:r>
          </w:p>
        </w:tc>
      </w:tr>
      <w:tr>
        <w:tc>
          <w:tcPr>
            <w:tcW w:type="dxa" w:w="3456"/>
            <w:vAlign w:val="top"/>
          </w:tcPr>
          <w:p>
            <w:pPr>
              <w:spacing w:after="40"/>
            </w:pPr>
            <w:r/>
            <w:r>
              <w:rPr>
                <w:rFonts w:ascii="Source Sans 3" w:hAnsi="Source Sans 3" w:cs="Source Sans 3" w:eastAsia="Source Sans 3"/>
                <w:b w:val="0"/>
                <w:color w:val="1B1B1B"/>
                <w:sz w:val="21"/>
              </w:rPr>
              <w:t>Legal name</w:t>
            </w:r>
          </w:p>
        </w:tc>
        <w:tc>
          <w:tcPr>
            <w:tcW w:type="dxa" w:w="6048"/>
            <w:vAlign w:val="top"/>
          </w:tcPr>
          <w:p>
            <w:pPr>
              <w:spacing w:after="40"/>
            </w:pPr>
            <w:r/>
            <w:r>
              <w:rPr>
                <w:rFonts w:ascii="Source Sans 3" w:hAnsi="Source Sans 3" w:cs="Source Sans 3" w:eastAsia="Source Sans 3"/>
                <w:b w:val="0"/>
                <w:color w:val="1B1B1B"/>
                <w:sz w:val="21"/>
              </w:rPr>
              <w:t>Otaku Haven LLC</w:t>
            </w:r>
          </w:p>
        </w:tc>
      </w:tr>
      <w:tr>
        <w:tc>
          <w:tcPr>
            <w:tcW w:type="dxa" w:w="3456"/>
            <w:vAlign w:val="top"/>
          </w:tcPr>
          <w:p>
            <w:pPr>
              <w:spacing w:after="40"/>
            </w:pPr>
            <w:r/>
            <w:r>
              <w:rPr>
                <w:rFonts w:ascii="Source Sans 3" w:hAnsi="Source Sans 3" w:cs="Source Sans 3" w:eastAsia="Source Sans 3"/>
                <w:b w:val="0"/>
                <w:color w:val="1B1B1B"/>
                <w:sz w:val="21"/>
              </w:rPr>
              <w:t>DBA</w:t>
            </w:r>
          </w:p>
        </w:tc>
        <w:tc>
          <w:tcPr>
            <w:tcW w:type="dxa" w:w="6048"/>
            <w:vAlign w:val="top"/>
          </w:tcPr>
          <w:p>
            <w:pPr>
              <w:spacing w:after="40"/>
            </w:pPr>
            <w:r/>
            <w:r>
              <w:rPr>
                <w:rFonts w:ascii="Source Sans 3" w:hAnsi="Source Sans 3" w:cs="Source Sans 3" w:eastAsia="Source Sans 3"/>
                <w:b w:val="0"/>
                <w:color w:val="1B1B1B"/>
                <w:sz w:val="21"/>
              </w:rPr>
              <w:t>Otaku Haven</w:t>
            </w:r>
          </w:p>
        </w:tc>
      </w:tr>
      <w:tr>
        <w:tc>
          <w:tcPr>
            <w:tcW w:type="dxa" w:w="3456"/>
            <w:vAlign w:val="top"/>
          </w:tcPr>
          <w:p>
            <w:pPr>
              <w:spacing w:after="40"/>
            </w:pPr>
            <w:r/>
            <w:r>
              <w:rPr>
                <w:rFonts w:ascii="Source Sans 3" w:hAnsi="Source Sans 3" w:cs="Source Sans 3" w:eastAsia="Source Sans 3"/>
                <w:b w:val="0"/>
                <w:color w:val="1B1B1B"/>
                <w:sz w:val="21"/>
              </w:rPr>
              <w:t>Entity type</w:t>
            </w:r>
          </w:p>
        </w:tc>
        <w:tc>
          <w:tcPr>
            <w:tcW w:type="dxa" w:w="6048"/>
            <w:vAlign w:val="top"/>
          </w:tcPr>
          <w:p>
            <w:pPr>
              <w:spacing w:after="40"/>
            </w:pPr>
            <w:r/>
            <w:r>
              <w:rPr>
                <w:rFonts w:ascii="Source Sans 3" w:hAnsi="Source Sans 3" w:cs="Source Sans 3" w:eastAsia="Source Sans 3"/>
                <w:b w:val="0"/>
                <w:color w:val="1B1B1B"/>
                <w:sz w:val="21"/>
              </w:rPr>
              <w:t>Texas LLC (member-managed)</w:t>
            </w:r>
          </w:p>
        </w:tc>
      </w:tr>
      <w:tr>
        <w:tc>
          <w:tcPr>
            <w:tcW w:type="dxa" w:w="3456"/>
            <w:vAlign w:val="top"/>
          </w:tcPr>
          <w:p>
            <w:pPr>
              <w:spacing w:after="40"/>
            </w:pPr>
            <w:r/>
            <w:r>
              <w:rPr>
                <w:rFonts w:ascii="Source Sans 3" w:hAnsi="Source Sans 3" w:cs="Source Sans 3" w:eastAsia="Source Sans 3"/>
                <w:b w:val="0"/>
                <w:color w:val="1B1B1B"/>
                <w:sz w:val="21"/>
              </w:rPr>
              <w:t>Formation date</w:t>
            </w:r>
          </w:p>
        </w:tc>
        <w:tc>
          <w:tcPr>
            <w:tcW w:type="dxa" w:w="6048"/>
            <w:vAlign w:val="top"/>
          </w:tcPr>
          <w:p>
            <w:pPr>
              <w:spacing w:after="40"/>
            </w:pPr>
            <w:r/>
            <w:r>
              <w:rPr>
                <w:rFonts w:ascii="Source Sans 3" w:hAnsi="Source Sans 3" w:cs="Source Sans 3" w:eastAsia="Source Sans 3"/>
                <w:b w:val="0"/>
                <w:color w:val="1B1B1B"/>
                <w:sz w:val="21"/>
              </w:rPr>
              <w:t>January 8, 2026</w:t>
            </w:r>
          </w:p>
        </w:tc>
      </w:tr>
      <w:tr>
        <w:tc>
          <w:tcPr>
            <w:tcW w:type="dxa" w:w="3456"/>
            <w:vAlign w:val="top"/>
          </w:tcPr>
          <w:p>
            <w:pPr>
              <w:spacing w:after="40"/>
            </w:pPr>
            <w:r/>
            <w:r>
              <w:rPr>
                <w:rFonts w:ascii="Source Sans 3" w:hAnsi="Source Sans 3" w:cs="Source Sans 3" w:eastAsia="Source Sans 3"/>
                <w:b w:val="0"/>
                <w:color w:val="1B1B1B"/>
                <w:sz w:val="21"/>
              </w:rPr>
              <w:t>EIN</w:t>
            </w:r>
          </w:p>
        </w:tc>
        <w:tc>
          <w:tcPr>
            <w:tcW w:type="dxa" w:w="6048"/>
            <w:vAlign w:val="top"/>
          </w:tcPr>
          <w:p>
            <w:pPr>
              <w:spacing w:after="40"/>
            </w:pPr>
            <w:r/>
            <w:r>
              <w:rPr>
                <w:rFonts w:ascii="Source Sans 3" w:hAnsi="Source Sans 3" w:cs="Source Sans 3" w:eastAsia="Source Sans 3"/>
                <w:b w:val="0"/>
                <w:color w:val="1B1B1B"/>
                <w:sz w:val="21"/>
              </w:rPr>
              <w:t>84-1234567</w:t>
            </w:r>
          </w:p>
        </w:tc>
      </w:tr>
      <w:tr>
        <w:tc>
          <w:tcPr>
            <w:tcW w:type="dxa" w:w="3456"/>
            <w:vAlign w:val="top"/>
          </w:tcPr>
          <w:p>
            <w:pPr>
              <w:spacing w:after="40"/>
            </w:pPr>
            <w:r/>
            <w:r>
              <w:rPr>
                <w:rFonts w:ascii="Source Sans 3" w:hAnsi="Source Sans 3" w:cs="Source Sans 3" w:eastAsia="Source Sans 3"/>
                <w:b w:val="0"/>
                <w:color w:val="1B1B1B"/>
                <w:sz w:val="21"/>
              </w:rPr>
              <w:t>Address</w:t>
            </w:r>
          </w:p>
        </w:tc>
        <w:tc>
          <w:tcPr>
            <w:tcW w:type="dxa" w:w="6048"/>
            <w:vAlign w:val="top"/>
          </w:tcPr>
          <w:p>
            <w:pPr>
              <w:spacing w:after="40"/>
            </w:pPr>
            <w:r/>
            <w:r>
              <w:rPr>
                <w:rFonts w:ascii="Source Sans 3" w:hAnsi="Source Sans 3" w:cs="Source Sans 3" w:eastAsia="Source Sans 3"/>
                <w:b w:val="0"/>
                <w:color w:val="1B1B1B"/>
                <w:sz w:val="21"/>
              </w:rPr>
              <w:t>2847 S Lamar Blvd, Suite 105, Austin, TX 78704</w:t>
            </w:r>
          </w:p>
        </w:tc>
      </w:tr>
      <w:tr>
        <w:tc>
          <w:tcPr>
            <w:tcW w:type="dxa" w:w="3456"/>
            <w:vAlign w:val="top"/>
          </w:tcPr>
          <w:p>
            <w:pPr>
              <w:spacing w:after="40"/>
            </w:pPr>
            <w:r/>
            <w:r>
              <w:rPr>
                <w:rFonts w:ascii="Source Sans 3" w:hAnsi="Source Sans 3" w:cs="Source Sans 3" w:eastAsia="Source Sans 3"/>
                <w:b w:val="0"/>
                <w:color w:val="1B1B1B"/>
                <w:sz w:val="21"/>
              </w:rPr>
              <w:t>Store size</w:t>
            </w:r>
          </w:p>
        </w:tc>
        <w:tc>
          <w:tcPr>
            <w:tcW w:type="dxa" w:w="6048"/>
            <w:vAlign w:val="top"/>
          </w:tcPr>
          <w:p>
            <w:pPr>
              <w:spacing w:after="40"/>
            </w:pPr>
            <w:r/>
            <w:r>
              <w:rPr>
                <w:rFonts w:ascii="Source Sans 3" w:hAnsi="Source Sans 3" w:cs="Source Sans 3" w:eastAsia="Source Sans 3"/>
                <w:b w:val="0"/>
                <w:color w:val="1B1B1B"/>
                <w:sz w:val="21"/>
              </w:rPr>
              <w:t>1,800 sq ft</w:t>
            </w:r>
          </w:p>
        </w:tc>
      </w:tr>
      <w:tr>
        <w:tc>
          <w:tcPr>
            <w:tcW w:type="dxa" w:w="3456"/>
            <w:vAlign w:val="top"/>
          </w:tcPr>
          <w:p>
            <w:pPr>
              <w:spacing w:after="40"/>
            </w:pPr>
            <w:r/>
            <w:r>
              <w:rPr>
                <w:rFonts w:ascii="Source Sans 3" w:hAnsi="Source Sans 3" w:cs="Source Sans 3" w:eastAsia="Source Sans 3"/>
                <w:b w:val="0"/>
                <w:color w:val="1B1B1B"/>
                <w:sz w:val="21"/>
              </w:rPr>
              <w:t>Lease structure</w:t>
            </w:r>
          </w:p>
        </w:tc>
        <w:tc>
          <w:tcPr>
            <w:tcW w:type="dxa" w:w="6048"/>
            <w:vAlign w:val="top"/>
          </w:tcPr>
          <w:p>
            <w:pPr>
              <w:spacing w:after="40"/>
            </w:pPr>
            <w:r/>
            <w:r>
              <w:rPr>
                <w:rFonts w:ascii="Source Sans 3" w:hAnsi="Source Sans 3" w:cs="Source Sans 3" w:eastAsia="Source Sans 3"/>
                <w:b w:val="0"/>
                <w:color w:val="1B1B1B"/>
                <w:sz w:val="21"/>
              </w:rPr>
              <w:t>3-year NNN lease with 2-year renewal option</w:t>
            </w:r>
          </w:p>
        </w:tc>
      </w:tr>
      <w:tr>
        <w:tc>
          <w:tcPr>
            <w:tcW w:type="dxa" w:w="3456"/>
            <w:vAlign w:val="top"/>
          </w:tcPr>
          <w:p>
            <w:pPr>
              <w:spacing w:after="40"/>
            </w:pPr>
            <w:r/>
            <w:r>
              <w:rPr>
                <w:rFonts w:ascii="Source Sans 3" w:hAnsi="Source Sans 3" w:cs="Source Sans 3" w:eastAsia="Source Sans 3"/>
                <w:b w:val="0"/>
                <w:color w:val="1B1B1B"/>
                <w:sz w:val="21"/>
              </w:rPr>
              <w:t>Rent</w:t>
            </w:r>
          </w:p>
        </w:tc>
        <w:tc>
          <w:tcPr>
            <w:tcW w:type="dxa" w:w="6048"/>
            <w:vAlign w:val="top"/>
          </w:tcPr>
          <w:p>
            <w:pPr>
              <w:spacing w:after="40"/>
            </w:pPr>
            <w:r/>
            <w:r>
              <w:rPr>
                <w:rFonts w:ascii="Source Sans 3" w:hAnsi="Source Sans 3" w:cs="Source Sans 3" w:eastAsia="Source Sans 3"/>
                <w:b w:val="0"/>
                <w:color w:val="1B1B1B"/>
                <w:sz w:val="21"/>
              </w:rPr>
              <w:t>$3,500/month</w:t>
            </w:r>
          </w:p>
        </w:tc>
      </w:tr>
      <w:tr>
        <w:tc>
          <w:tcPr>
            <w:tcW w:type="dxa" w:w="3456"/>
            <w:vAlign w:val="top"/>
          </w:tcPr>
          <w:p>
            <w:pPr>
              <w:spacing w:after="40"/>
            </w:pPr>
            <w:r/>
            <w:r>
              <w:rPr>
                <w:rFonts w:ascii="Source Sans 3" w:hAnsi="Source Sans 3" w:cs="Source Sans 3" w:eastAsia="Source Sans 3"/>
                <w:b w:val="0"/>
                <w:color w:val="1B1B1B"/>
                <w:sz w:val="21"/>
              </w:rPr>
              <w:t>Target opening</w:t>
            </w:r>
          </w:p>
        </w:tc>
        <w:tc>
          <w:tcPr>
            <w:tcW w:type="dxa" w:w="6048"/>
            <w:vAlign w:val="top"/>
          </w:tcPr>
          <w:p>
            <w:pPr>
              <w:spacing w:after="40"/>
            </w:pPr>
            <w:r/>
            <w:r>
              <w:rPr>
                <w:rFonts w:ascii="Source Sans 3" w:hAnsi="Source Sans 3" w:cs="Source Sans 3" w:eastAsia="Source Sans 3"/>
                <w:b w:val="0"/>
                <w:color w:val="1B1B1B"/>
                <w:sz w:val="21"/>
              </w:rPr>
              <w:t>June 1, 2026</w:t>
            </w:r>
          </w:p>
        </w:tc>
      </w:tr>
      <w:tr>
        <w:tc>
          <w:tcPr>
            <w:tcW w:type="dxa" w:w="3456"/>
            <w:vAlign w:val="top"/>
          </w:tcPr>
          <w:p>
            <w:pPr>
              <w:spacing w:after="40"/>
            </w:pPr>
            <w:r/>
            <w:r>
              <w:rPr>
                <w:rFonts w:ascii="Source Sans 3" w:hAnsi="Source Sans 3" w:cs="Source Sans 3" w:eastAsia="Source Sans 3"/>
                <w:b w:val="0"/>
                <w:color w:val="1B1B1B"/>
                <w:sz w:val="21"/>
              </w:rPr>
              <w:t>Ownership</w:t>
            </w:r>
          </w:p>
        </w:tc>
        <w:tc>
          <w:tcPr>
            <w:tcW w:type="dxa" w:w="6048"/>
            <w:vAlign w:val="top"/>
          </w:tcPr>
          <w:p>
            <w:pPr>
              <w:spacing w:after="40"/>
            </w:pPr>
            <w:r/>
            <w:r>
              <w:rPr>
                <w:rFonts w:ascii="Source Sans 3" w:hAnsi="Source Sans 3" w:cs="Source Sans 3" w:eastAsia="Source Sans 3"/>
                <w:b w:val="0"/>
                <w:color w:val="1B1B1B"/>
                <w:sz w:val="21"/>
              </w:rPr>
              <w:t>James Whitfield 40%; Kelli Nakamura 35%; 25% reserved for future investor/partner</w:t>
            </w:r>
          </w:p>
        </w:tc>
      </w:tr>
    </w:tbl>
    <w:p/>
    <w:p>
      <w:pPr>
        <w:pStyle w:val="Heading1"/>
        <w:spacing w:after="120"/>
      </w:pPr>
      <w:r>
        <w:rPr>
          <w:rFonts w:ascii="Space Grotesk" w:hAnsi="Space Grotesk" w:cs="Space Grotesk" w:eastAsia="Space Grotesk"/>
          <w:b/>
          <w:color w:val="122033"/>
          <w:sz w:val="32"/>
        </w:rPr>
        <w:t>3. Market Analysis</w:t>
      </w:r>
    </w:p>
    <w:p>
      <w:pPr>
        <w:spacing w:after="120"/>
      </w:pPr>
      <w:r>
        <w:rPr>
          <w:rFonts w:ascii="Source Sans 3" w:hAnsi="Source Sans 3" w:cs="Source Sans 3" w:eastAsia="Source Sans 3"/>
          <w:b w:val="0"/>
          <w:color w:val="1B1B1B"/>
          <w:sz w:val="22"/>
        </w:rPr>
        <w:t>Otaku Haven operates in the overlap of anime merchandise, manga retail, trading cards, fandom apparel, and specialty collectibles. For planning purposes, management treats the broader U.S. anime, manga, collectible, and adjacent merchandise opportunity as an estimated $5 billion-plus annual category, with the Austin specialty-fandom spending opportunity estimated at roughly $25 million to $35 million annually. These figures are management planning estimates rather than third-party audited market studies and are presented as directional context only.</w:t>
      </w:r>
    </w:p>
    <w:p>
      <w:pPr>
        <w:spacing w:after="120"/>
      </w:pPr>
      <w:r>
        <w:rPr>
          <w:rFonts w:ascii="Source Sans 3" w:hAnsi="Source Sans 3" w:cs="Source Sans 3" w:eastAsia="Source Sans 3"/>
          <w:b w:val="0"/>
          <w:color w:val="1B1B1B"/>
          <w:sz w:val="22"/>
        </w:rPr>
        <w:t>Austin is a favorable launch market because it combines population growth, a large student and young-professional base, destination retail behavior, and convention-driven fandom activity. South Lamar strengthens that positioning by combining neighborhood traffic with an entertainment corridor identity that makes pop-culture retail a natural fit.</w:t>
      </w:r>
    </w:p>
    <w:p>
      <w:pPr>
        <w:spacing w:after="120"/>
      </w:pPr>
      <w:r>
        <w:rPr>
          <w:rFonts w:ascii="Source Sans 3" w:hAnsi="Source Sans 3" w:cs="Source Sans 3" w:eastAsia="Source Sans 3"/>
          <w:b w:val="0"/>
          <w:color w:val="1B1B1B"/>
          <w:sz w:val="22"/>
        </w:rPr>
        <w:t>The target audience is already defined in Marketing-Plan.docx and should be referenced rather than redefined here. The Core Collector is the highest-value buyer for figures, trading cards, and premium releases; the Regular Fan drives recurring purchases across manga, accessories, apparel, and event participation; and the Gift Buyer becomes especially important in the holiday period, where confidence, authenticity, and giftable price points matter most.</w:t>
      </w:r>
    </w:p>
    <w:p>
      <w:pPr>
        <w:spacing w:after="120"/>
      </w:pPr>
      <w:r>
        <w:rPr>
          <w:rFonts w:ascii="Source Sans 3" w:hAnsi="Source Sans 3" w:cs="Source Sans 3" w:eastAsia="Source Sans 3"/>
          <w:b w:val="0"/>
          <w:color w:val="1B1B1B"/>
          <w:sz w:val="22"/>
        </w:rPr>
        <w:t>Several market trends support the concept. Anime fandom continues to broaden beyond niche communities into mainstream entertainment habits; collectibles remain attractive because scarcity and display value drive repeat purchasing; streaming keeps fandom discovery active and shortens the time between content exposure and merchandise demand; and customers increasingly expect physical retail to offer something online channels cannot, namely immediacy, expertise, and community experience.</w:t>
      </w:r>
    </w:p>
    <w:p>
      <w:pPr>
        <w:pStyle w:val="Heading1"/>
        <w:spacing w:after="120"/>
      </w:pPr>
      <w:r>
        <w:rPr>
          <w:rFonts w:ascii="Space Grotesk" w:hAnsi="Space Grotesk" w:cs="Space Grotesk" w:eastAsia="Space Grotesk"/>
          <w:b/>
          <w:color w:val="122033"/>
          <w:sz w:val="32"/>
        </w:rPr>
        <w:t>4. Competitive Landscape</w:t>
      </w:r>
    </w:p>
    <w:p>
      <w:pPr>
        <w:spacing w:after="120"/>
      </w:pPr>
      <w:r>
        <w:rPr>
          <w:rFonts w:ascii="Source Sans 3" w:hAnsi="Source Sans 3" w:cs="Source Sans 3" w:eastAsia="Source Sans 3"/>
          <w:b w:val="0"/>
          <w:color w:val="1B1B1B"/>
          <w:sz w:val="22"/>
        </w:rPr>
        <w:t>Otaku Haven’s competitive position is summarized in Competitive-Analysis.xlsx, specifically the Competitive Positioning Summary. The concept is not trying to beat national players on breadth of catalog or promotional scale. Instead, it is built to win on specialist assortment, local relevance, and a customer experience that combines fandom fluency with community participation.</w:t>
      </w:r>
    </w:p>
    <w:p>
      <w:pPr>
        <w:spacing w:after="40"/>
        <w:ind w:left="360" w:hanging="216"/>
      </w:pPr>
      <w:r>
        <w:rPr>
          <w:rFonts w:ascii="Source Sans 3" w:hAnsi="Source Sans 3" w:cs="Source Sans 3" w:eastAsia="Source Sans 3"/>
          <w:b w:val="0"/>
          <w:color w:val="1B1B1B"/>
          <w:sz w:val="22"/>
        </w:rPr>
        <w:t>• Top advantage 1: full-category specialty coverage across all 8 anime-related product categories, broader than Barnes &amp; Noble on books and more focused than Hot Topic on fandom depth.</w:t>
      </w:r>
    </w:p>
    <w:p>
      <w:pPr>
        <w:spacing w:after="40"/>
        <w:ind w:left="360" w:hanging="216"/>
      </w:pPr>
      <w:r>
        <w:rPr>
          <w:rFonts w:ascii="Source Sans 3" w:hAnsi="Source Sans 3" w:cs="Source Sans 3" w:eastAsia="Source Sans 3"/>
          <w:b w:val="0"/>
          <w:color w:val="1B1B1B"/>
          <w:sz w:val="22"/>
        </w:rPr>
        <w:t>• Top advantage 2: a hybrid physical-plus-online model anchored in South Lamar Austin, giving the company destination-retail presence without sacrificing ecommerce reach through OtakuHaven.store.</w:t>
      </w:r>
    </w:p>
    <w:p>
      <w:pPr>
        <w:spacing w:after="40"/>
        <w:ind w:left="360" w:hanging="216"/>
      </w:pPr>
      <w:r>
        <w:rPr>
          <w:rFonts w:ascii="Source Sans 3" w:hAnsi="Source Sans 3" w:cs="Source Sans 3" w:eastAsia="Source Sans 3"/>
          <w:b w:val="0"/>
          <w:color w:val="1B1B1B"/>
          <w:sz w:val="22"/>
        </w:rPr>
        <w:t>• Top advantage 3: community-first differentiation through planned events, knowledgeable staff, and a local creator consignment section that national chains and online-only competitors do not replicate well.</w:t>
      </w:r>
    </w:p>
    <w:p>
      <w:pPr>
        <w:spacing w:after="120"/>
      </w:pPr>
      <w:r>
        <w:rPr>
          <w:rFonts w:ascii="Source Sans 3" w:hAnsi="Source Sans 3" w:cs="Source Sans 3" w:eastAsia="Source Sans 3"/>
          <w:b w:val="0"/>
          <w:color w:val="1B1B1B"/>
          <w:sz w:val="22"/>
        </w:rPr>
        <w:t>The primary competitive threat is split by channel. Crunchyroll Store is the strongest digital threat because of official exclusives, licensed brand authority, and national ecommerce reach. Hot Topic remains the strongest pricing and traffic threat in physical retail, while Barnes &amp; Noble can intercept manga-first shoppers before they graduate into higher-margin collectible categories.</w:t>
      </w:r>
    </w:p>
    <w:p>
      <w:pPr>
        <w:spacing w:after="120"/>
      </w:pPr>
      <w:r>
        <w:rPr>
          <w:rFonts w:ascii="Source Sans 3" w:hAnsi="Source Sans 3" w:cs="Source Sans 3" w:eastAsia="Source Sans 3"/>
          <w:b w:val="0"/>
          <w:color w:val="1B1B1B"/>
          <w:sz w:val="22"/>
        </w:rPr>
        <w:t>The underserved need is clear: Austin lacks a clearly positioned anime-specialist retailer that combines curated collectibles, manga, trading cards, apparel, knowledgeable fandom-driven staff, community events, and a local creator shelf in one consistent destination. Otaku Haven fills that gap by offering a single specialist experience instead of forcing customers to piece together the category across bookstores, mall retail, and online stores.</w:t>
      </w:r>
    </w:p>
    <w:p>
      <w:pPr>
        <w:pStyle w:val="Heading1"/>
        <w:spacing w:after="120"/>
      </w:pPr>
      <w:r>
        <w:rPr>
          <w:rFonts w:ascii="Space Grotesk" w:hAnsi="Space Grotesk" w:cs="Space Grotesk" w:eastAsia="Space Grotesk"/>
          <w:b/>
          <w:color w:val="122033"/>
          <w:sz w:val="32"/>
        </w:rPr>
        <w:t>5. Products and Services</w:t>
      </w:r>
    </w:p>
    <w:p>
      <w:pPr>
        <w:spacing w:after="120"/>
      </w:pPr>
      <w:r>
        <w:rPr>
          <w:rFonts w:ascii="Source Sans 3" w:hAnsi="Source Sans 3" w:cs="Source Sans 3" w:eastAsia="Source Sans 3"/>
          <w:b w:val="0"/>
          <w:color w:val="1B1B1B"/>
          <w:sz w:val="22"/>
        </w:rPr>
        <w:t>Otaku Haven generates revenue from eight product categories, each chosen to balance collectible depth, recurring traffic, and giftability.</w:t>
      </w:r>
    </w:p>
    <w:p>
      <w:pPr>
        <w:pStyle w:val="Heading2"/>
        <w:spacing w:after="40"/>
      </w:pPr>
      <w:r>
        <w:rPr>
          <w:rFonts w:ascii="Space Grotesk" w:hAnsi="Space Grotesk" w:cs="Space Grotesk" w:eastAsia="Space Grotesk"/>
          <w:b/>
          <w:color w:val="E94F37"/>
          <w:sz w:val="24"/>
        </w:rPr>
        <w:t>Figures &amp; Statues</w:t>
      </w:r>
    </w:p>
    <w:p>
      <w:pPr>
        <w:spacing w:after="120"/>
      </w:pPr>
      <w:r>
        <w:rPr>
          <w:rFonts w:ascii="Source Sans 3" w:hAnsi="Source Sans 3" w:cs="Source Sans 3" w:eastAsia="Source Sans 3"/>
          <w:b w:val="0"/>
          <w:color w:val="1B1B1B"/>
          <w:sz w:val="22"/>
        </w:rPr>
        <w:t>Action figures, scale figures, Nendoroids, and Funko Pop products anchor collector demand and support premium ticket sizes.</w:t>
      </w:r>
    </w:p>
    <w:p>
      <w:pPr>
        <w:pStyle w:val="Heading2"/>
        <w:spacing w:after="40"/>
      </w:pPr>
      <w:r>
        <w:rPr>
          <w:rFonts w:ascii="Space Grotesk" w:hAnsi="Space Grotesk" w:cs="Space Grotesk" w:eastAsia="Space Grotesk"/>
          <w:b/>
          <w:color w:val="E94F37"/>
          <w:sz w:val="24"/>
        </w:rPr>
        <w:t>Manga &amp; Light Novels</w:t>
      </w:r>
    </w:p>
    <w:p>
      <w:pPr>
        <w:spacing w:after="120"/>
      </w:pPr>
      <w:r>
        <w:rPr>
          <w:rFonts w:ascii="Source Sans 3" w:hAnsi="Source Sans 3" w:cs="Source Sans 3" w:eastAsia="Source Sans 3"/>
          <w:b w:val="0"/>
          <w:color w:val="1B1B1B"/>
          <w:sz w:val="22"/>
        </w:rPr>
        <w:t>Core series, new volume releases, and gateway titles create repeat visit frequency and entry-price conversion.</w:t>
      </w:r>
    </w:p>
    <w:p>
      <w:pPr>
        <w:pStyle w:val="Heading2"/>
        <w:spacing w:after="40"/>
      </w:pPr>
      <w:r>
        <w:rPr>
          <w:rFonts w:ascii="Space Grotesk" w:hAnsi="Space Grotesk" w:cs="Space Grotesk" w:eastAsia="Space Grotesk"/>
          <w:b/>
          <w:color w:val="E94F37"/>
          <w:sz w:val="24"/>
        </w:rPr>
        <w:t>Apparel</w:t>
      </w:r>
    </w:p>
    <w:p>
      <w:pPr>
        <w:spacing w:after="120"/>
      </w:pPr>
      <w:r>
        <w:rPr>
          <w:rFonts w:ascii="Source Sans 3" w:hAnsi="Source Sans 3" w:cs="Source Sans 3" w:eastAsia="Source Sans 3"/>
          <w:b w:val="0"/>
          <w:color w:val="1B1B1B"/>
          <w:sz w:val="22"/>
        </w:rPr>
        <w:t>T-shirts, hoodies, and cosplay accessories give the brand wearable fandom expression with everyday-use appeal.</w:t>
      </w:r>
    </w:p>
    <w:p>
      <w:pPr>
        <w:pStyle w:val="Heading2"/>
        <w:spacing w:after="40"/>
      </w:pPr>
      <w:r>
        <w:rPr>
          <w:rFonts w:ascii="Space Grotesk" w:hAnsi="Space Grotesk" w:cs="Space Grotesk" w:eastAsia="Space Grotesk"/>
          <w:b/>
          <w:color w:val="E94F37"/>
          <w:sz w:val="24"/>
        </w:rPr>
        <w:t>Accessories</w:t>
      </w:r>
    </w:p>
    <w:p>
      <w:pPr>
        <w:spacing w:after="120"/>
      </w:pPr>
      <w:r>
        <w:rPr>
          <w:rFonts w:ascii="Source Sans 3" w:hAnsi="Source Sans 3" w:cs="Source Sans 3" w:eastAsia="Source Sans 3"/>
          <w:b w:val="0"/>
          <w:color w:val="1B1B1B"/>
          <w:sz w:val="22"/>
        </w:rPr>
        <w:t>Keychains, pins, bags, and phone cases support impulse buying and price-accessible gifting.</w:t>
      </w:r>
    </w:p>
    <w:p>
      <w:pPr>
        <w:pStyle w:val="Heading2"/>
        <w:spacing w:after="40"/>
      </w:pPr>
      <w:r>
        <w:rPr>
          <w:rFonts w:ascii="Space Grotesk" w:hAnsi="Space Grotesk" w:cs="Space Grotesk" w:eastAsia="Space Grotesk"/>
          <w:b/>
          <w:color w:val="E94F37"/>
          <w:sz w:val="24"/>
        </w:rPr>
        <w:t>Home &amp; Lifestyle</w:t>
      </w:r>
    </w:p>
    <w:p>
      <w:pPr>
        <w:spacing w:after="120"/>
      </w:pPr>
      <w:r>
        <w:rPr>
          <w:rFonts w:ascii="Source Sans 3" w:hAnsi="Source Sans 3" w:cs="Source Sans 3" w:eastAsia="Source Sans 3"/>
          <w:b w:val="0"/>
          <w:color w:val="1B1B1B"/>
          <w:sz w:val="22"/>
        </w:rPr>
        <w:t>Posters, wall scrolls, mugs, and blankets extend fandom into home use and broaden basket composition.</w:t>
      </w:r>
    </w:p>
    <w:p>
      <w:pPr>
        <w:pStyle w:val="Heading2"/>
        <w:spacing w:after="40"/>
      </w:pPr>
      <w:r>
        <w:rPr>
          <w:rFonts w:ascii="Space Grotesk" w:hAnsi="Space Grotesk" w:cs="Space Grotesk" w:eastAsia="Space Grotesk"/>
          <w:b/>
          <w:color w:val="E94F37"/>
          <w:sz w:val="24"/>
        </w:rPr>
        <w:t>Trading Cards</w:t>
      </w:r>
    </w:p>
    <w:p>
      <w:pPr>
        <w:spacing w:after="120"/>
      </w:pPr>
      <w:r>
        <w:rPr>
          <w:rFonts w:ascii="Source Sans 3" w:hAnsi="Source Sans 3" w:cs="Source Sans 3" w:eastAsia="Source Sans 3"/>
          <w:b w:val="0"/>
          <w:color w:val="1B1B1B"/>
          <w:sz w:val="22"/>
        </w:rPr>
        <w:t>Pokémon TCG, Yu-Gi-Oh!, and Weiss Schwarz create repeat traffic, event activation opportunities, and strong collector behavior.</w:t>
      </w:r>
    </w:p>
    <w:p>
      <w:pPr>
        <w:pStyle w:val="Heading2"/>
        <w:spacing w:after="40"/>
      </w:pPr>
      <w:r>
        <w:rPr>
          <w:rFonts w:ascii="Space Grotesk" w:hAnsi="Space Grotesk" w:cs="Space Grotesk" w:eastAsia="Space Grotesk"/>
          <w:b/>
          <w:color w:val="E94F37"/>
          <w:sz w:val="24"/>
        </w:rPr>
        <w:t>Media</w:t>
      </w:r>
    </w:p>
    <w:p>
      <w:pPr>
        <w:spacing w:after="120"/>
      </w:pPr>
      <w:r>
        <w:rPr>
          <w:rFonts w:ascii="Source Sans 3" w:hAnsi="Source Sans 3" w:cs="Source Sans 3" w:eastAsia="Source Sans 3"/>
          <w:b w:val="0"/>
          <w:color w:val="1B1B1B"/>
          <w:sz w:val="22"/>
        </w:rPr>
        <w:t>Blu-ray releases and vinyl soundtracks stay intentionally selective, serving collectors without overcommitting floor space.</w:t>
      </w:r>
    </w:p>
    <w:p>
      <w:pPr>
        <w:pStyle w:val="Heading2"/>
        <w:spacing w:after="40"/>
      </w:pPr>
      <w:r>
        <w:rPr>
          <w:rFonts w:ascii="Space Grotesk" w:hAnsi="Space Grotesk" w:cs="Space Grotesk" w:eastAsia="Space Grotesk"/>
          <w:b/>
          <w:color w:val="E94F37"/>
          <w:sz w:val="24"/>
        </w:rPr>
        <w:t>Consignment / Local Creator Section</w:t>
      </w:r>
    </w:p>
    <w:p>
      <w:pPr>
        <w:spacing w:after="120"/>
      </w:pPr>
      <w:r>
        <w:rPr>
          <w:rFonts w:ascii="Source Sans 3" w:hAnsi="Source Sans 3" w:cs="Source Sans 3" w:eastAsia="Source Sans 3"/>
          <w:b w:val="0"/>
          <w:color w:val="1B1B1B"/>
          <w:sz w:val="22"/>
        </w:rPr>
        <w:t>Fan art prints and handmade items reinforce local differentiation and community ties while broadening discovery.</w:t>
      </w:r>
    </w:p>
    <w:p>
      <w:pPr>
        <w:spacing w:after="120"/>
      </w:pPr>
      <w:r>
        <w:rPr>
          <w:rFonts w:ascii="Source Sans 3" w:hAnsi="Source Sans 3" w:cs="Source Sans 3" w:eastAsia="Source Sans 3"/>
          <w:b w:val="0"/>
          <w:color w:val="1B1B1B"/>
          <w:sz w:val="22"/>
        </w:rPr>
        <w:t>The product mix is designed to avoid overreliance on a single category. Figures and trading cards support margin and collector excitement, manga drives recurring purchase frequency, accessories and apparel keep the assortment approachable, and consignment/local creator products differentiate the store from chain competitors.</w:t>
      </w:r>
    </w:p>
    <w:p>
      <w:pPr>
        <w:spacing w:after="120"/>
      </w:pPr>
      <w:r>
        <w:rPr>
          <w:rFonts w:ascii="Source Sans 3" w:hAnsi="Source Sans 3" w:cs="Source Sans 3" w:eastAsia="Source Sans 3"/>
          <w:b w:val="0"/>
          <w:color w:val="1B1B1B"/>
          <w:sz w:val="22"/>
        </w:rPr>
        <w:t>Pricing strategy is mid-range specialty pricing. The store does not need to mimic discount-chain behavior to win. Instead, it uses curation, authenticity, knowledgeable service, bundles, event-led promotions, and loyalty moments to support value perception while protecting margin. Entry-price manga, accessories, and giftable items provide affordability; premium figures, limited collectibles, and curated event drops support higher-ticket transactions.</w:t>
      </w:r>
    </w:p>
    <w:p>
      <w:pPr>
        <w:pStyle w:val="Heading1"/>
        <w:spacing w:after="120"/>
      </w:pPr>
      <w:r>
        <w:rPr>
          <w:rFonts w:ascii="Space Grotesk" w:hAnsi="Space Grotesk" w:cs="Space Grotesk" w:eastAsia="Space Grotesk"/>
          <w:b/>
          <w:color w:val="122033"/>
          <w:sz w:val="32"/>
        </w:rPr>
        <w:t>6. Marketing and Sales Strategy</w:t>
      </w:r>
    </w:p>
    <w:p>
      <w:pPr>
        <w:spacing w:after="120"/>
      </w:pPr>
      <w:r>
        <w:rPr>
          <w:rFonts w:ascii="Source Sans 3" w:hAnsi="Source Sans 3" w:cs="Source Sans 3" w:eastAsia="Source Sans 3"/>
          <w:b w:val="0"/>
          <w:color w:val="1B1B1B"/>
          <w:sz w:val="22"/>
        </w:rPr>
        <w:t>Marketing-Plan.docx defines the audience strategy, positioning, channel mix, and launch cadence that underpin this section. The plan targets three established customer profiles: the Core Collector, the Regular Fan, and the Gift Buyer. Together they cover premium collectible demand, repeat fandom shopping, and seasonal gifting behavior without forcing the business into a one-segment retail model.</w:t>
      </w:r>
    </w:p>
    <w:p>
      <w:pPr>
        <w:spacing w:after="120"/>
      </w:pPr>
      <w:r>
        <w:rPr>
          <w:rFonts w:ascii="Source Sans 3" w:hAnsi="Source Sans 3" w:cs="Source Sans 3" w:eastAsia="Source Sans 3"/>
          <w:b w:val="0"/>
          <w:color w:val="1B1B1B"/>
          <w:sz w:val="22"/>
        </w:rPr>
        <w:t>Primary digital channels are Instagram, TikTok, X, Discord, Facebook, and the company website at OtakuHaven.store. Instagram and TikTok support product drops, shelf tours, and event storytelling; X supports release reminders and community conversation; Discord supports retention and event reminders; Facebook supports local announcements and event pages; and the website converts traffic through catalog visibility, email capture, event pages, and online ordering.</w:t>
      </w:r>
    </w:p>
    <w:p>
      <w:pPr>
        <w:spacing w:after="120"/>
      </w:pPr>
      <w:r>
        <w:rPr>
          <w:rFonts w:ascii="Source Sans 3" w:hAnsi="Source Sans 3" w:cs="Source Sans 3" w:eastAsia="Source Sans 3"/>
          <w:b w:val="0"/>
          <w:color w:val="1B1B1B"/>
          <w:sz w:val="22"/>
        </w:rPr>
        <w:t>Local marketing centers on convention visibility, university outreach around UT Austin and St. Edward’s University, South Lamar partnerships, and recurring in-store events such as trading-card tournaments, figure unboxings, manga club activity, and local artist meet-and-greets. That local layer matters because it turns awareness into intentional visits rather than relying only on passive foot traffic.</w:t>
      </w:r>
    </w:p>
    <w:p>
      <w:pPr>
        <w:spacing w:after="120"/>
      </w:pPr>
      <w:r>
        <w:rPr>
          <w:rFonts w:ascii="Source Sans 3" w:hAnsi="Source Sans 3" w:cs="Source Sans 3" w:eastAsia="Source Sans 3"/>
          <w:b w:val="0"/>
          <w:color w:val="1B1B1B"/>
          <w:sz w:val="22"/>
        </w:rPr>
        <w:t>The launch campaign begins approximately 90 days ahead of the soft opening, moving from teaser awareness into countdown content and then into opening-week activation. The campaign starts on February 24, 2026, shifts into anticipation on May 1, 2026, begins the soft opening on May 25, 2026, and culminates in the grand opening on June 1, 2026.</w:t>
      </w:r>
    </w:p>
    <w:p>
      <w:pPr>
        <w:spacing w:after="120"/>
      </w:pPr>
      <w:r>
        <w:rPr>
          <w:rFonts w:ascii="Source Sans 3" w:hAnsi="Source Sans 3" w:cs="Source Sans 3" w:eastAsia="Source Sans 3"/>
          <w:b w:val="0"/>
          <w:color w:val="1B1B1B"/>
          <w:sz w:val="22"/>
        </w:rPr>
        <w:t>The canonical annual marketing budget is $18,000.00, matching both Marketing-Plan.docx Section 8 and the Financial Model operating expense line. That budget is allocated across paid social promotion, content creation, events and in-store activations, email marketing tooling, local advertising, and contingency reserve.</w:t>
      </w:r>
    </w:p>
    <w:p>
      <w:pPr>
        <w:pStyle w:val="Heading1"/>
        <w:spacing w:after="120"/>
      </w:pPr>
      <w:r>
        <w:rPr>
          <w:rFonts w:ascii="Space Grotesk" w:hAnsi="Space Grotesk" w:cs="Space Grotesk" w:eastAsia="Space Grotesk"/>
          <w:b/>
          <w:color w:val="122033"/>
          <w:sz w:val="32"/>
        </w:rPr>
        <w:t>7. Operations Plan</w:t>
      </w:r>
    </w:p>
    <w:p>
      <w:pPr>
        <w:spacing w:after="120"/>
      </w:pPr>
      <w:r>
        <w:rPr>
          <w:rFonts w:ascii="Source Sans 3" w:hAnsi="Source Sans 3" w:cs="Source Sans 3" w:eastAsia="Source Sans 3"/>
          <w:b w:val="0"/>
          <w:color w:val="1B1B1B"/>
          <w:sz w:val="22"/>
        </w:rPr>
        <w:t>Store operations are built for a specialist retail environment that needs disciplined merchandising, reliable floor coverage, event execution, and online order support. Standard hours are Monday through Saturday from 10am to 9pm and Sunday from 11am to 7pm. The holiday schedule closes the store on Thanksgiving and Christmas Day, with reduced hours on Christmas Eve and New Year’s Day.</w:t>
      </w:r>
    </w:p>
    <w:p>
      <w:pPr>
        <w:spacing w:after="120"/>
      </w:pPr>
      <w:r>
        <w:rPr>
          <w:rFonts w:ascii="Source Sans 3" w:hAnsi="Source Sans 3" w:cs="Source Sans 3" w:eastAsia="Source Sans 3"/>
          <w:b w:val="0"/>
          <w:color w:val="1B1B1B"/>
          <w:sz w:val="22"/>
        </w:rPr>
        <w:t>The staffing model includes 8 employees: one full-time salaried Store Manager, one full-time hourly Assistant Manager, two part-time Key Holders, and four part-time Sales Associates. This structure balances product knowledge, open-to-close floor coverage, merchandising upkeep, event support, and online-order handling without carrying excessive payroll in the launch period.</w:t>
      </w:r>
    </w:p>
    <w:p>
      <w:pPr>
        <w:spacing w:after="120"/>
      </w:pPr>
      <w:r>
        <w:rPr>
          <w:rFonts w:ascii="Source Sans 3" w:hAnsi="Source Sans 3" w:cs="Source Sans 3" w:eastAsia="Source Sans 3"/>
          <w:b w:val="0"/>
          <w:color w:val="1B1B1B"/>
          <w:sz w:val="22"/>
        </w:rPr>
        <w:t>The core operating systems are Square for Retail for POS and inventory, Square Online for ecommerce at OtakuHaven.store, Xero for accounting, Gusto for payroll and HRIS, and Microsoft 365 Business Standard for email and productivity. Together they provide an intentionally lightweight but scalable technology stack for launch-year operations.</w:t>
      </w:r>
    </w:p>
    <w:tbl>
      <w:tblPr>
        <w:tblStyle w:val="TableGrid"/>
        <w:tblW w:type="auto" w:w="0"/>
        <w:jc w:val="center"/>
        <w:tblLook w:firstColumn="1" w:firstRow="1" w:lastColumn="0" w:lastRow="0" w:noHBand="0" w:noVBand="1" w:val="04A0"/>
      </w:tblPr>
      <w:tblGrid>
        <w:gridCol w:w="4968"/>
        <w:gridCol w:w="4968"/>
      </w:tblGrid>
      <w:tr>
        <w:tc>
          <w:tcPr>
            <w:tcW w:type="dxa" w:w="3024"/>
            <w:vAlign w:val="center"/>
            <w:shd w:fill="122033"/>
          </w:tcPr>
          <w:p>
            <w:pPr>
              <w:jc w:val="center"/>
            </w:pPr>
            <w:r/>
            <w:r>
              <w:rPr>
                <w:rFonts w:ascii="Space Grotesk" w:hAnsi="Space Grotesk" w:cs="Space Grotesk" w:eastAsia="Space Grotesk"/>
                <w:b/>
                <w:color w:val="F7F4EE"/>
                <w:sz w:val="21"/>
              </w:rPr>
              <w:t>Operational Milestone</w:t>
            </w:r>
          </w:p>
        </w:tc>
        <w:tc>
          <w:tcPr>
            <w:tcW w:type="dxa" w:w="6480"/>
            <w:vAlign w:val="center"/>
            <w:shd w:fill="122033"/>
          </w:tcPr>
          <w:p>
            <w:pPr>
              <w:jc w:val="center"/>
            </w:pPr>
            <w:r/>
            <w:r>
              <w:rPr>
                <w:rFonts w:ascii="Space Grotesk" w:hAnsi="Space Grotesk" w:cs="Space Grotesk" w:eastAsia="Space Grotesk"/>
                <w:b/>
                <w:color w:val="F7F4EE"/>
                <w:sz w:val="21"/>
              </w:rPr>
              <w:t>Date</w:t>
            </w:r>
          </w:p>
        </w:tc>
      </w:tr>
      <w:tr>
        <w:tc>
          <w:tcPr>
            <w:tcW w:type="dxa" w:w="3024"/>
            <w:vAlign w:val="top"/>
          </w:tcPr>
          <w:p>
            <w:pPr>
              <w:spacing w:after="40"/>
            </w:pPr>
            <w:r/>
            <w:r>
              <w:rPr>
                <w:rFonts w:ascii="Source Sans 3" w:hAnsi="Source Sans 3" w:cs="Source Sans 3" w:eastAsia="Source Sans 3"/>
                <w:b w:val="0"/>
                <w:color w:val="1B1B1B"/>
                <w:sz w:val="21"/>
              </w:rPr>
              <w:t>January 8, 2026</w:t>
            </w:r>
          </w:p>
        </w:tc>
        <w:tc>
          <w:tcPr>
            <w:tcW w:type="dxa" w:w="6480"/>
            <w:vAlign w:val="top"/>
          </w:tcPr>
          <w:p>
            <w:pPr>
              <w:spacing w:after="40"/>
            </w:pPr>
            <w:r/>
            <w:r>
              <w:rPr>
                <w:rFonts w:ascii="Source Sans 3" w:hAnsi="Source Sans 3" w:cs="Source Sans 3" w:eastAsia="Source Sans 3"/>
                <w:b w:val="0"/>
                <w:color w:val="1B1B1B"/>
                <w:sz w:val="21"/>
              </w:rPr>
              <w:t>LLC formation</w:t>
            </w:r>
          </w:p>
        </w:tc>
      </w:tr>
      <w:tr>
        <w:tc>
          <w:tcPr>
            <w:tcW w:type="dxa" w:w="3024"/>
            <w:vAlign w:val="top"/>
          </w:tcPr>
          <w:p>
            <w:pPr>
              <w:spacing w:after="40"/>
            </w:pPr>
            <w:r/>
            <w:r>
              <w:rPr>
                <w:rFonts w:ascii="Source Sans 3" w:hAnsi="Source Sans 3" w:cs="Source Sans 3" w:eastAsia="Source Sans 3"/>
                <w:b w:val="0"/>
                <w:color w:val="1B1B1B"/>
                <w:sz w:val="21"/>
              </w:rPr>
              <w:t>January 28, 2026</w:t>
            </w:r>
          </w:p>
        </w:tc>
        <w:tc>
          <w:tcPr>
            <w:tcW w:type="dxa" w:w="6480"/>
            <w:vAlign w:val="top"/>
          </w:tcPr>
          <w:p>
            <w:pPr>
              <w:spacing w:after="40"/>
            </w:pPr>
            <w:r/>
            <w:r>
              <w:rPr>
                <w:rFonts w:ascii="Source Sans 3" w:hAnsi="Source Sans 3" w:cs="Source Sans 3" w:eastAsia="Source Sans 3"/>
                <w:b w:val="0"/>
                <w:color w:val="1B1B1B"/>
                <w:sz w:val="21"/>
              </w:rPr>
              <w:t>Bank account opened</w:t>
            </w:r>
          </w:p>
        </w:tc>
      </w:tr>
      <w:tr>
        <w:tc>
          <w:tcPr>
            <w:tcW w:type="dxa" w:w="3024"/>
            <w:vAlign w:val="top"/>
          </w:tcPr>
          <w:p>
            <w:pPr>
              <w:spacing w:after="40"/>
            </w:pPr>
            <w:r/>
            <w:r>
              <w:rPr>
                <w:rFonts w:ascii="Source Sans 3" w:hAnsi="Source Sans 3" w:cs="Source Sans 3" w:eastAsia="Source Sans 3"/>
                <w:b w:val="0"/>
                <w:color w:val="1B1B1B"/>
                <w:sz w:val="21"/>
              </w:rPr>
              <w:t>February 10, 2026</w:t>
            </w:r>
          </w:p>
        </w:tc>
        <w:tc>
          <w:tcPr>
            <w:tcW w:type="dxa" w:w="6480"/>
            <w:vAlign w:val="top"/>
          </w:tcPr>
          <w:p>
            <w:pPr>
              <w:spacing w:after="40"/>
            </w:pPr>
            <w:r/>
            <w:r>
              <w:rPr>
                <w:rFonts w:ascii="Source Sans 3" w:hAnsi="Source Sans 3" w:cs="Source Sans 3" w:eastAsia="Source Sans 3"/>
                <w:b w:val="0"/>
                <w:color w:val="1B1B1B"/>
                <w:sz w:val="21"/>
              </w:rPr>
              <w:t>Lease signed</w:t>
            </w:r>
          </w:p>
        </w:tc>
      </w:tr>
      <w:tr>
        <w:tc>
          <w:tcPr>
            <w:tcW w:type="dxa" w:w="3024"/>
            <w:vAlign w:val="top"/>
          </w:tcPr>
          <w:p>
            <w:pPr>
              <w:spacing w:after="40"/>
            </w:pPr>
            <w:r/>
            <w:r>
              <w:rPr>
                <w:rFonts w:ascii="Source Sans 3" w:hAnsi="Source Sans 3" w:cs="Source Sans 3" w:eastAsia="Source Sans 3"/>
                <w:b w:val="0"/>
                <w:color w:val="1B1B1B"/>
                <w:sz w:val="21"/>
              </w:rPr>
              <w:t>March 15, 2026</w:t>
            </w:r>
          </w:p>
        </w:tc>
        <w:tc>
          <w:tcPr>
            <w:tcW w:type="dxa" w:w="6480"/>
            <w:vAlign w:val="top"/>
          </w:tcPr>
          <w:p>
            <w:pPr>
              <w:spacing w:after="40"/>
            </w:pPr>
            <w:r/>
            <w:r>
              <w:rPr>
                <w:rFonts w:ascii="Source Sans 3" w:hAnsi="Source Sans 3" w:cs="Source Sans 3" w:eastAsia="Source Sans 3"/>
                <w:b w:val="0"/>
                <w:color w:val="1B1B1B"/>
                <w:sz w:val="21"/>
              </w:rPr>
              <w:t>Buildout begins</w:t>
            </w:r>
          </w:p>
        </w:tc>
      </w:tr>
      <w:tr>
        <w:tc>
          <w:tcPr>
            <w:tcW w:type="dxa" w:w="3024"/>
            <w:vAlign w:val="top"/>
          </w:tcPr>
          <w:p>
            <w:pPr>
              <w:spacing w:after="40"/>
            </w:pPr>
            <w:r/>
            <w:r>
              <w:rPr>
                <w:rFonts w:ascii="Source Sans 3" w:hAnsi="Source Sans 3" w:cs="Source Sans 3" w:eastAsia="Source Sans 3"/>
                <w:b w:val="0"/>
                <w:color w:val="1B1B1B"/>
                <w:sz w:val="21"/>
              </w:rPr>
              <w:t>April 15, 2026</w:t>
            </w:r>
          </w:p>
        </w:tc>
        <w:tc>
          <w:tcPr>
            <w:tcW w:type="dxa" w:w="6480"/>
            <w:vAlign w:val="top"/>
          </w:tcPr>
          <w:p>
            <w:pPr>
              <w:spacing w:after="40"/>
            </w:pPr>
            <w:r/>
            <w:r>
              <w:rPr>
                <w:rFonts w:ascii="Source Sans 3" w:hAnsi="Source Sans 3" w:cs="Source Sans 3" w:eastAsia="Source Sans 3"/>
                <w:b w:val="0"/>
                <w:color w:val="1B1B1B"/>
                <w:sz w:val="21"/>
              </w:rPr>
              <w:t>Hiring begins</w:t>
            </w:r>
          </w:p>
        </w:tc>
      </w:tr>
      <w:tr>
        <w:tc>
          <w:tcPr>
            <w:tcW w:type="dxa" w:w="3024"/>
            <w:vAlign w:val="top"/>
          </w:tcPr>
          <w:p>
            <w:pPr>
              <w:spacing w:after="40"/>
            </w:pPr>
            <w:r/>
            <w:r>
              <w:rPr>
                <w:rFonts w:ascii="Source Sans 3" w:hAnsi="Source Sans 3" w:cs="Source Sans 3" w:eastAsia="Source Sans 3"/>
                <w:b w:val="0"/>
                <w:color w:val="1B1B1B"/>
                <w:sz w:val="21"/>
              </w:rPr>
              <w:t>May 25, 2026</w:t>
            </w:r>
          </w:p>
        </w:tc>
        <w:tc>
          <w:tcPr>
            <w:tcW w:type="dxa" w:w="6480"/>
            <w:vAlign w:val="top"/>
          </w:tcPr>
          <w:p>
            <w:pPr>
              <w:spacing w:after="40"/>
            </w:pPr>
            <w:r/>
            <w:r>
              <w:rPr>
                <w:rFonts w:ascii="Source Sans 3" w:hAnsi="Source Sans 3" w:cs="Source Sans 3" w:eastAsia="Source Sans 3"/>
                <w:b w:val="0"/>
                <w:color w:val="1B1B1B"/>
                <w:sz w:val="21"/>
              </w:rPr>
              <w:t>Soft opening</w:t>
            </w:r>
          </w:p>
        </w:tc>
      </w:tr>
      <w:tr>
        <w:tc>
          <w:tcPr>
            <w:tcW w:type="dxa" w:w="3024"/>
            <w:vAlign w:val="top"/>
          </w:tcPr>
          <w:p>
            <w:pPr>
              <w:spacing w:after="40"/>
            </w:pPr>
            <w:r/>
            <w:r>
              <w:rPr>
                <w:rFonts w:ascii="Source Sans 3" w:hAnsi="Source Sans 3" w:cs="Source Sans 3" w:eastAsia="Source Sans 3"/>
                <w:b w:val="0"/>
                <w:color w:val="1B1B1B"/>
                <w:sz w:val="21"/>
              </w:rPr>
              <w:t>June 1, 2026</w:t>
            </w:r>
          </w:p>
        </w:tc>
        <w:tc>
          <w:tcPr>
            <w:tcW w:type="dxa" w:w="6480"/>
            <w:vAlign w:val="top"/>
          </w:tcPr>
          <w:p>
            <w:pPr>
              <w:spacing w:after="40"/>
            </w:pPr>
            <w:r/>
            <w:r>
              <w:rPr>
                <w:rFonts w:ascii="Source Sans 3" w:hAnsi="Source Sans 3" w:cs="Source Sans 3" w:eastAsia="Source Sans 3"/>
                <w:b w:val="0"/>
                <w:color w:val="1B1B1B"/>
                <w:sz w:val="21"/>
              </w:rPr>
              <w:t>Grand opening</w:t>
            </w:r>
          </w:p>
        </w:tc>
      </w:tr>
    </w:tbl>
    <w:p/>
    <w:p>
      <w:pPr>
        <w:spacing w:after="120"/>
      </w:pPr>
      <w:r>
        <w:rPr>
          <w:rFonts w:ascii="Source Sans 3" w:hAnsi="Source Sans 3" w:cs="Source Sans 3" w:eastAsia="Source Sans 3"/>
          <w:b w:val="0"/>
          <w:color w:val="1B1B1B"/>
          <w:sz w:val="22"/>
        </w:rPr>
        <w:t>Operational discipline depends on inventory cadence, reorder-point management, theft controls for high-value items, and weekly review of sales by category. The KPI and reporting framework supports this by tracking sales, gross margin, sell-through, and community-conversion measures alongside routine operating cadence.</w:t>
      </w:r>
    </w:p>
    <w:p>
      <w:pPr>
        <w:pStyle w:val="Heading1"/>
        <w:spacing w:after="120"/>
      </w:pPr>
      <w:r>
        <w:rPr>
          <w:rFonts w:ascii="Space Grotesk" w:hAnsi="Space Grotesk" w:cs="Space Grotesk" w:eastAsia="Space Grotesk"/>
          <w:b/>
          <w:color w:val="122033"/>
          <w:sz w:val="32"/>
        </w:rPr>
        <w:t>8. Management and Organization</w:t>
      </w:r>
    </w:p>
    <w:p>
      <w:pPr>
        <w:spacing w:after="120"/>
      </w:pPr>
      <w:r>
        <w:rPr>
          <w:rFonts w:ascii="Source Sans 3" w:hAnsi="Source Sans 3" w:cs="Source Sans 3" w:eastAsia="Source Sans 3"/>
          <w:b w:val="0"/>
          <w:color w:val="1B1B1B"/>
          <w:sz w:val="22"/>
        </w:rPr>
        <w:t>James Whitfield serves as Managing Member and holds 40% of the issued equity. His role covers strategic vision, investor relations, and company-level direction, while also bringing architect/product-owner discipline to systems, planning, and execution. Kelli Nakamura holds 35% of the issued equity and serves as Member and Operations Lead, responsible for day-to-day operations, purchasing, vendor management, and merchandising execution.</w:t>
      </w:r>
    </w:p>
    <w:p>
      <w:pPr>
        <w:spacing w:after="120"/>
      </w:pPr>
      <w:r>
        <w:rPr>
          <w:rFonts w:ascii="Source Sans 3" w:hAnsi="Source Sans 3" w:cs="Source Sans 3" w:eastAsia="Source Sans 3"/>
          <w:b w:val="0"/>
          <w:color w:val="1B1B1B"/>
          <w:sz w:val="22"/>
        </w:rPr>
        <w:t>The remaining 25% of the cap table is reserved and unissued for a future investor or partner. Cap-Table-Summary.docx is the formal ownership snapshot, while Operating-Agreement.docx governs transfer restrictions, major-decision approvals, and issuance of the reserved block.</w:t>
      </w:r>
    </w:p>
    <w:tbl>
      <w:tblPr>
        <w:tblStyle w:val="TableGrid"/>
        <w:tblW w:type="auto" w:w="0"/>
        <w:jc w:val="center"/>
        <w:tblLook w:firstColumn="1" w:firstRow="1" w:lastColumn="0" w:lastRow="0" w:noHBand="0" w:noVBand="1" w:val="04A0"/>
      </w:tblPr>
      <w:tblGrid>
        <w:gridCol w:w="4968"/>
        <w:gridCol w:w="4968"/>
      </w:tblGrid>
      <w:tr>
        <w:tc>
          <w:tcPr>
            <w:tcW w:type="dxa" w:w="1152"/>
            <w:vAlign w:val="center"/>
            <w:shd w:fill="122033"/>
          </w:tcPr>
          <w:p>
            <w:pPr>
              <w:jc w:val="center"/>
            </w:pPr>
            <w:r/>
            <w:r>
              <w:rPr>
                <w:rFonts w:ascii="Space Grotesk" w:hAnsi="Space Grotesk" w:cs="Space Grotesk" w:eastAsia="Space Grotesk"/>
                <w:b/>
                <w:color w:val="F7F4EE"/>
                <w:sz w:val="21"/>
              </w:rPr>
              <w:t>Level</w:t>
            </w:r>
          </w:p>
        </w:tc>
        <w:tc>
          <w:tcPr>
            <w:tcW w:type="dxa" w:w="8352"/>
            <w:vAlign w:val="center"/>
            <w:shd w:fill="122033"/>
          </w:tcPr>
          <w:p>
            <w:pPr>
              <w:jc w:val="center"/>
            </w:pPr>
            <w:r/>
            <w:r>
              <w:rPr>
                <w:rFonts w:ascii="Space Grotesk" w:hAnsi="Space Grotesk" w:cs="Space Grotesk" w:eastAsia="Space Grotesk"/>
                <w:b/>
                <w:color w:val="F7F4EE"/>
                <w:sz w:val="21"/>
              </w:rPr>
              <w:t>Reporting Structure</w:t>
            </w:r>
          </w:p>
        </w:tc>
      </w:tr>
      <w:tr>
        <w:tc>
          <w:tcPr>
            <w:tcW w:type="dxa" w:w="1152"/>
            <w:vAlign w:val="top"/>
          </w:tcPr>
          <w:p>
            <w:pPr>
              <w:spacing w:after="40"/>
            </w:pPr>
            <w:r/>
            <w:r>
              <w:rPr>
                <w:rFonts w:ascii="Source Sans 3" w:hAnsi="Source Sans 3" w:cs="Source Sans 3" w:eastAsia="Source Sans 3"/>
                <w:b w:val="0"/>
                <w:color w:val="1B1B1B"/>
                <w:sz w:val="21"/>
              </w:rPr>
              <w:t>1</w:t>
            </w:r>
          </w:p>
        </w:tc>
        <w:tc>
          <w:tcPr>
            <w:tcW w:type="dxa" w:w="8352"/>
            <w:vAlign w:val="top"/>
          </w:tcPr>
          <w:p>
            <w:pPr>
              <w:spacing w:after="40"/>
            </w:pPr>
            <w:r/>
            <w:r>
              <w:rPr>
                <w:rFonts w:ascii="Source Sans 3" w:hAnsi="Source Sans 3" w:cs="Source Sans 3" w:eastAsia="Source Sans 3"/>
                <w:b w:val="0"/>
                <w:color w:val="1B1B1B"/>
                <w:sz w:val="21"/>
              </w:rPr>
              <w:t>Managing Member (James Whitfield)</w:t>
            </w:r>
          </w:p>
        </w:tc>
      </w:tr>
      <w:tr>
        <w:tc>
          <w:tcPr>
            <w:tcW w:type="dxa" w:w="1152"/>
            <w:vAlign w:val="top"/>
          </w:tcPr>
          <w:p>
            <w:pPr>
              <w:spacing w:after="40"/>
            </w:pPr>
            <w:r/>
            <w:r>
              <w:rPr>
                <w:rFonts w:ascii="Source Sans 3" w:hAnsi="Source Sans 3" w:cs="Source Sans 3" w:eastAsia="Source Sans 3"/>
                <w:b w:val="0"/>
                <w:color w:val="1B1B1B"/>
                <w:sz w:val="21"/>
              </w:rPr>
              <w:t>2</w:t>
            </w:r>
          </w:p>
        </w:tc>
        <w:tc>
          <w:tcPr>
            <w:tcW w:type="dxa" w:w="8352"/>
            <w:vAlign w:val="top"/>
          </w:tcPr>
          <w:p>
            <w:pPr>
              <w:spacing w:after="40"/>
            </w:pPr>
            <w:r/>
            <w:r>
              <w:rPr>
                <w:rFonts w:ascii="Source Sans 3" w:hAnsi="Source Sans 3" w:cs="Source Sans 3" w:eastAsia="Source Sans 3"/>
                <w:b w:val="0"/>
                <w:color w:val="1B1B1B"/>
                <w:sz w:val="21"/>
              </w:rPr>
              <w:t>Operations Lead (Kelli Nakamura)</w:t>
            </w:r>
          </w:p>
        </w:tc>
      </w:tr>
      <w:tr>
        <w:tc>
          <w:tcPr>
            <w:tcW w:type="dxa" w:w="1152"/>
            <w:vAlign w:val="top"/>
          </w:tcPr>
          <w:p>
            <w:pPr>
              <w:spacing w:after="40"/>
            </w:pPr>
            <w:r/>
            <w:r>
              <w:rPr>
                <w:rFonts w:ascii="Source Sans 3" w:hAnsi="Source Sans 3" w:cs="Source Sans 3" w:eastAsia="Source Sans 3"/>
                <w:b w:val="0"/>
                <w:color w:val="1B1B1B"/>
                <w:sz w:val="21"/>
              </w:rPr>
              <w:t>3</w:t>
            </w:r>
          </w:p>
        </w:tc>
        <w:tc>
          <w:tcPr>
            <w:tcW w:type="dxa" w:w="8352"/>
            <w:vAlign w:val="top"/>
          </w:tcPr>
          <w:p>
            <w:pPr>
              <w:spacing w:after="40"/>
            </w:pPr>
            <w:r/>
            <w:r>
              <w:rPr>
                <w:rFonts w:ascii="Source Sans 3" w:hAnsi="Source Sans 3" w:cs="Source Sans 3" w:eastAsia="Source Sans 3"/>
                <w:b w:val="0"/>
                <w:color w:val="1B1B1B"/>
                <w:sz w:val="21"/>
              </w:rPr>
              <w:t>Store Manager</w:t>
            </w:r>
          </w:p>
        </w:tc>
      </w:tr>
      <w:tr>
        <w:tc>
          <w:tcPr>
            <w:tcW w:type="dxa" w:w="1152"/>
            <w:vAlign w:val="top"/>
          </w:tcPr>
          <w:p>
            <w:pPr>
              <w:spacing w:after="40"/>
            </w:pPr>
            <w:r/>
            <w:r>
              <w:rPr>
                <w:rFonts w:ascii="Source Sans 3" w:hAnsi="Source Sans 3" w:cs="Source Sans 3" w:eastAsia="Source Sans 3"/>
                <w:b w:val="0"/>
                <w:color w:val="1B1B1B"/>
                <w:sz w:val="21"/>
              </w:rPr>
              <w:t>4</w:t>
            </w:r>
          </w:p>
        </w:tc>
        <w:tc>
          <w:tcPr>
            <w:tcW w:type="dxa" w:w="8352"/>
            <w:vAlign w:val="top"/>
          </w:tcPr>
          <w:p>
            <w:pPr>
              <w:spacing w:after="40"/>
            </w:pPr>
            <w:r/>
            <w:r>
              <w:rPr>
                <w:rFonts w:ascii="Source Sans 3" w:hAnsi="Source Sans 3" w:cs="Source Sans 3" w:eastAsia="Source Sans 3"/>
                <w:b w:val="0"/>
                <w:color w:val="1B1B1B"/>
                <w:sz w:val="21"/>
              </w:rPr>
              <w:t>Assistant Manager</w:t>
            </w:r>
          </w:p>
        </w:tc>
      </w:tr>
      <w:tr>
        <w:tc>
          <w:tcPr>
            <w:tcW w:type="dxa" w:w="1152"/>
            <w:vAlign w:val="top"/>
          </w:tcPr>
          <w:p>
            <w:pPr>
              <w:spacing w:after="40"/>
            </w:pPr>
            <w:r/>
            <w:r>
              <w:rPr>
                <w:rFonts w:ascii="Source Sans 3" w:hAnsi="Source Sans 3" w:cs="Source Sans 3" w:eastAsia="Source Sans 3"/>
                <w:b w:val="0"/>
                <w:color w:val="1B1B1B"/>
                <w:sz w:val="21"/>
              </w:rPr>
              <w:t>5</w:t>
            </w:r>
          </w:p>
        </w:tc>
        <w:tc>
          <w:tcPr>
            <w:tcW w:type="dxa" w:w="8352"/>
            <w:vAlign w:val="top"/>
          </w:tcPr>
          <w:p>
            <w:pPr>
              <w:spacing w:after="40"/>
            </w:pPr>
            <w:r/>
            <w:r>
              <w:rPr>
                <w:rFonts w:ascii="Source Sans 3" w:hAnsi="Source Sans 3" w:cs="Source Sans 3" w:eastAsia="Source Sans 3"/>
                <w:b w:val="0"/>
                <w:color w:val="1B1B1B"/>
                <w:sz w:val="21"/>
              </w:rPr>
              <w:t>Key Holders + Sales Associates</w:t>
            </w:r>
          </w:p>
        </w:tc>
      </w:tr>
    </w:tbl>
    <w:p/>
    <w:p>
      <w:pPr>
        <w:pStyle w:val="Heading1"/>
        <w:spacing w:after="120"/>
      </w:pPr>
      <w:r>
        <w:rPr>
          <w:rFonts w:ascii="Space Grotesk" w:hAnsi="Space Grotesk" w:cs="Space Grotesk" w:eastAsia="Space Grotesk"/>
          <w:b/>
          <w:color w:val="122033"/>
          <w:sz w:val="32"/>
        </w:rPr>
        <w:t>9. SWOT Analysis</w:t>
      </w:r>
    </w:p>
    <w:p>
      <w:pPr>
        <w:spacing w:after="120"/>
      </w:pPr>
      <w:r>
        <w:rPr>
          <w:rFonts w:ascii="Source Sans 3" w:hAnsi="Source Sans 3" w:cs="Source Sans 3" w:eastAsia="Source Sans 3"/>
          <w:b w:val="0"/>
          <w:color w:val="1B1B1B"/>
          <w:sz w:val="22"/>
        </w:rPr>
        <w:t>This SWOT integrates the operating thesis with the risks cataloged in Risk-Assessment.docx so that weaknesses and threats stay aligned with the formal risk register.</w:t>
      </w:r>
    </w:p>
    <w:p>
      <w:pPr>
        <w:pStyle w:val="Heading2"/>
        <w:spacing w:after="40"/>
      </w:pPr>
      <w:r>
        <w:rPr>
          <w:rFonts w:ascii="Space Grotesk" w:hAnsi="Space Grotesk" w:cs="Space Grotesk" w:eastAsia="Space Grotesk"/>
          <w:b/>
          <w:color w:val="E94F37"/>
          <w:sz w:val="24"/>
        </w:rPr>
        <w:t>Strengths</w:t>
      </w:r>
    </w:p>
    <w:p>
      <w:pPr>
        <w:spacing w:after="40"/>
        <w:ind w:left="360" w:hanging="216"/>
      </w:pPr>
      <w:r>
        <w:rPr>
          <w:rFonts w:ascii="Source Sans 3" w:hAnsi="Source Sans 3" w:cs="Source Sans 3" w:eastAsia="Source Sans 3"/>
          <w:b w:val="0"/>
          <w:color w:val="1B1B1B"/>
          <w:sz w:val="22"/>
        </w:rPr>
        <w:t>• Curated specialist retail concept across all 8 core product categories rather than a narrow single-category offer.</w:t>
      </w:r>
    </w:p>
    <w:p>
      <w:pPr>
        <w:spacing w:after="40"/>
        <w:ind w:left="360" w:hanging="216"/>
      </w:pPr>
      <w:r>
        <w:rPr>
          <w:rFonts w:ascii="Source Sans 3" w:hAnsi="Source Sans 3" w:cs="Source Sans 3" w:eastAsia="Source Sans 3"/>
          <w:b w:val="0"/>
          <w:color w:val="1B1B1B"/>
          <w:sz w:val="22"/>
        </w:rPr>
        <w:t>• Community-first positioning reinforced by planned events, knowledgeable staff, and a local creator section.</w:t>
      </w:r>
    </w:p>
    <w:p>
      <w:pPr>
        <w:spacing w:after="40"/>
        <w:ind w:left="360" w:hanging="216"/>
      </w:pPr>
      <w:r>
        <w:rPr>
          <w:rFonts w:ascii="Source Sans 3" w:hAnsi="Source Sans 3" w:cs="Source Sans 3" w:eastAsia="Source Sans 3"/>
          <w:b w:val="0"/>
          <w:color w:val="1B1B1B"/>
          <w:sz w:val="22"/>
        </w:rPr>
        <w:t>• South Lamar location with destination-retail potential and hybrid ecommerce support through OtakuHaven.store.</w:t>
      </w:r>
    </w:p>
    <w:p>
      <w:pPr>
        <w:spacing w:after="40"/>
        <w:ind w:left="360" w:hanging="216"/>
      </w:pPr>
      <w:r>
        <w:rPr>
          <w:rFonts w:ascii="Source Sans 3" w:hAnsi="Source Sans 3" w:cs="Source Sans 3" w:eastAsia="Source Sans 3"/>
          <w:b w:val="0"/>
          <w:color w:val="1B1B1B"/>
          <w:sz w:val="22"/>
        </w:rPr>
        <w:t>• Balanced assortment that combines premium collectible categories with accessible gifting and recurring manga traffic.</w:t>
      </w:r>
    </w:p>
    <w:p>
      <w:pPr>
        <w:pStyle w:val="Heading2"/>
        <w:spacing w:after="40"/>
      </w:pPr>
      <w:r>
        <w:rPr>
          <w:rFonts w:ascii="Space Grotesk" w:hAnsi="Space Grotesk" w:cs="Space Grotesk" w:eastAsia="Space Grotesk"/>
          <w:b/>
          <w:color w:val="E94F37"/>
          <w:sz w:val="24"/>
        </w:rPr>
        <w:t>Weaknesses</w:t>
      </w:r>
    </w:p>
    <w:p>
      <w:pPr>
        <w:spacing w:after="40"/>
        <w:ind w:left="360" w:hanging="216"/>
      </w:pPr>
      <w:r>
        <w:rPr>
          <w:rFonts w:ascii="Source Sans 3" w:hAnsi="Source Sans 3" w:cs="Source Sans 3" w:eastAsia="Source Sans 3"/>
          <w:b w:val="0"/>
          <w:color w:val="1B1B1B"/>
          <w:sz w:val="22"/>
        </w:rPr>
        <w:t>• Single-location launch business with no multi-store revenue diversification.</w:t>
      </w:r>
    </w:p>
    <w:p>
      <w:pPr>
        <w:spacing w:after="40"/>
        <w:ind w:left="360" w:hanging="216"/>
      </w:pPr>
      <w:r>
        <w:rPr>
          <w:rFonts w:ascii="Source Sans 3" w:hAnsi="Source Sans 3" w:cs="Source Sans 3" w:eastAsia="Source Sans 3"/>
          <w:b w:val="0"/>
          <w:color w:val="1B1B1B"/>
          <w:sz w:val="22"/>
        </w:rPr>
        <w:t>• Limited initial capital base relative to potential inventory and buildout overruns.</w:t>
      </w:r>
    </w:p>
    <w:p>
      <w:pPr>
        <w:spacing w:after="40"/>
        <w:ind w:left="360" w:hanging="216"/>
      </w:pPr>
      <w:r>
        <w:rPr>
          <w:rFonts w:ascii="Source Sans 3" w:hAnsi="Source Sans 3" w:cs="Source Sans 3" w:eastAsia="Source Sans 3"/>
          <w:b w:val="0"/>
          <w:color w:val="1B1B1B"/>
          <w:sz w:val="22"/>
        </w:rPr>
        <w:t>• Pre-launch brand awareness is still being built and depends on effective launch execution.</w:t>
      </w:r>
    </w:p>
    <w:p>
      <w:pPr>
        <w:spacing w:after="40"/>
        <w:ind w:left="360" w:hanging="216"/>
      </w:pPr>
      <w:r>
        <w:rPr>
          <w:rFonts w:ascii="Source Sans 3" w:hAnsi="Source Sans 3" w:cs="Source Sans 3" w:eastAsia="Source Sans 3"/>
          <w:b w:val="0"/>
          <w:color w:val="1B1B1B"/>
          <w:sz w:val="22"/>
        </w:rPr>
        <w:t>• Heavy reliance on part-time staffing quality and fandom literacy to preserve service credibility.</w:t>
      </w:r>
    </w:p>
    <w:p>
      <w:pPr>
        <w:pStyle w:val="Heading2"/>
        <w:spacing w:after="40"/>
      </w:pPr>
      <w:r>
        <w:rPr>
          <w:rFonts w:ascii="Space Grotesk" w:hAnsi="Space Grotesk" w:cs="Space Grotesk" w:eastAsia="Space Grotesk"/>
          <w:b/>
          <w:color w:val="E94F37"/>
          <w:sz w:val="24"/>
        </w:rPr>
        <w:t>Opportunities</w:t>
      </w:r>
    </w:p>
    <w:p>
      <w:pPr>
        <w:spacing w:after="40"/>
        <w:ind w:left="360" w:hanging="216"/>
      </w:pPr>
      <w:r>
        <w:rPr>
          <w:rFonts w:ascii="Source Sans 3" w:hAnsi="Source Sans 3" w:cs="Source Sans 3" w:eastAsia="Source Sans 3"/>
          <w:b w:val="0"/>
          <w:color w:val="1B1B1B"/>
          <w:sz w:val="22"/>
        </w:rPr>
        <w:t>• Growing Austin anime fandom, convention traffic, and streaming-driven merchandise demand.</w:t>
      </w:r>
    </w:p>
    <w:p>
      <w:pPr>
        <w:spacing w:after="40"/>
        <w:ind w:left="360" w:hanging="216"/>
      </w:pPr>
      <w:r>
        <w:rPr>
          <w:rFonts w:ascii="Source Sans 3" w:hAnsi="Source Sans 3" w:cs="Source Sans 3" w:eastAsia="Source Sans 3"/>
          <w:b w:val="0"/>
          <w:color w:val="1B1B1B"/>
          <w:sz w:val="22"/>
        </w:rPr>
        <w:t>• Local creator economy creates a differentiated consignment and community-commerce angle.</w:t>
      </w:r>
    </w:p>
    <w:p>
      <w:pPr>
        <w:spacing w:after="40"/>
        <w:ind w:left="360" w:hanging="216"/>
      </w:pPr>
      <w:r>
        <w:rPr>
          <w:rFonts w:ascii="Source Sans 3" w:hAnsi="Source Sans 3" w:cs="Source Sans 3" w:eastAsia="Source Sans 3"/>
          <w:b w:val="0"/>
          <w:color w:val="1B1B1B"/>
          <w:sz w:val="22"/>
        </w:rPr>
        <w:t>• Event programming can convert occasional shoppers into recurring community participants.</w:t>
      </w:r>
    </w:p>
    <w:p>
      <w:pPr>
        <w:spacing w:after="40"/>
        <w:ind w:left="360" w:hanging="216"/>
      </w:pPr>
      <w:r>
        <w:rPr>
          <w:rFonts w:ascii="Source Sans 3" w:hAnsi="Source Sans 3" w:cs="Source Sans 3" w:eastAsia="Source Sans 3"/>
          <w:b w:val="0"/>
          <w:color w:val="1B1B1B"/>
          <w:sz w:val="22"/>
        </w:rPr>
        <w:t>• Gift-buyer demand and seasonal bundles expand the addressable customer base beyond core collectors.</w:t>
      </w:r>
    </w:p>
    <w:p>
      <w:pPr>
        <w:pStyle w:val="Heading2"/>
        <w:spacing w:after="40"/>
      </w:pPr>
      <w:r>
        <w:rPr>
          <w:rFonts w:ascii="Space Grotesk" w:hAnsi="Space Grotesk" w:cs="Space Grotesk" w:eastAsia="Space Grotesk"/>
          <w:b/>
          <w:color w:val="E94F37"/>
          <w:sz w:val="24"/>
        </w:rPr>
        <w:t>Threats</w:t>
      </w:r>
    </w:p>
    <w:p>
      <w:pPr>
        <w:spacing w:after="40"/>
        <w:ind w:left="360" w:hanging="216"/>
      </w:pPr>
      <w:r>
        <w:rPr>
          <w:rFonts w:ascii="Source Sans 3" w:hAnsi="Source Sans 3" w:cs="Source Sans 3" w:eastAsia="Source Sans 3"/>
          <w:b w:val="0"/>
          <w:color w:val="1B1B1B"/>
          <w:sz w:val="22"/>
        </w:rPr>
        <w:t>• Online competition from Crunchyroll Store, Amazon, and other digital-first sellers can compress margins and intercept demand.</w:t>
      </w:r>
    </w:p>
    <w:p>
      <w:pPr>
        <w:spacing w:after="40"/>
        <w:ind w:left="360" w:hanging="216"/>
      </w:pPr>
      <w:r>
        <w:rPr>
          <w:rFonts w:ascii="Source Sans 3" w:hAnsi="Source Sans 3" w:cs="Source Sans 3" w:eastAsia="Source Sans 3"/>
          <w:b w:val="0"/>
          <w:color w:val="1B1B1B"/>
          <w:sz w:val="22"/>
        </w:rPr>
        <w:t>• Economic downturns can reduce discretionary specialty spending, especially for premium collectibles.</w:t>
      </w:r>
    </w:p>
    <w:p>
      <w:pPr>
        <w:spacing w:after="40"/>
        <w:ind w:left="360" w:hanging="216"/>
      </w:pPr>
      <w:r>
        <w:rPr>
          <w:rFonts w:ascii="Source Sans 3" w:hAnsi="Source Sans 3" w:cs="Source Sans 3" w:eastAsia="Source Sans 3"/>
          <w:b w:val="0"/>
          <w:color w:val="1B1B1B"/>
          <w:sz w:val="22"/>
        </w:rPr>
        <w:t>• IP compliance failures, including unofficial or bootleg merchandise, could create enforcement and brand-damage exposure.</w:t>
      </w:r>
    </w:p>
    <w:p>
      <w:pPr>
        <w:spacing w:after="40"/>
        <w:ind w:left="360" w:hanging="216"/>
      </w:pPr>
      <w:r>
        <w:rPr>
          <w:rFonts w:ascii="Source Sans 3" w:hAnsi="Source Sans 3" w:cs="Source Sans 3" w:eastAsia="Source Sans 3"/>
          <w:b w:val="0"/>
          <w:color w:val="1B1B1B"/>
          <w:sz w:val="22"/>
        </w:rPr>
        <w:t>• Location and lease pressure, including variable South Lamar traffic and future NNN cost increases, can weigh on store performance.</w:t>
      </w:r>
    </w:p>
    <w:p>
      <w:pPr>
        <w:pStyle w:val="Heading1"/>
        <w:spacing w:after="120"/>
      </w:pPr>
      <w:r>
        <w:rPr>
          <w:rFonts w:ascii="Space Grotesk" w:hAnsi="Space Grotesk" w:cs="Space Grotesk" w:eastAsia="Space Grotesk"/>
          <w:b/>
          <w:color w:val="122033"/>
          <w:sz w:val="32"/>
        </w:rPr>
        <w:t>10. Financial Plan</w:t>
      </w:r>
    </w:p>
    <w:p>
      <w:pPr>
        <w:spacing w:after="120"/>
      </w:pPr>
      <w:r>
        <w:rPr>
          <w:rFonts w:ascii="Source Sans 3" w:hAnsi="Source Sans 3" w:cs="Source Sans 3" w:eastAsia="Source Sans 3"/>
          <w:b w:val="0"/>
          <w:color w:val="1B1B1B"/>
          <w:sz w:val="22"/>
        </w:rPr>
        <w:t>Financial figures in this section are read directly from the logic of Financial-Model.xlsx. The workbook is organized across the following tabs: Key Assumptions; Revenue Year 1 Monthly; Revenue Years 2-5 Annual; Payroll Detail; Operating Expenses; Startup Costs and Use of Funds; Income Statement (P&amp;L); Cash Flow Statement; and Break-Even Analysis.</w:t>
      </w:r>
    </w:p>
    <w:p>
      <w:pPr>
        <w:spacing w:after="120"/>
      </w:pPr>
      <w:r>
        <w:rPr>
          <w:rFonts w:ascii="Source Sans 3" w:hAnsi="Source Sans 3" w:cs="Source Sans 3" w:eastAsia="Source Sans 3"/>
          <w:b w:val="0"/>
          <w:color w:val="1B1B1B"/>
          <w:sz w:val="22"/>
        </w:rPr>
        <w:t>The model projects $293,355.00 in Year 1 revenue for the June through December 2026 operating period, $697,936.93 in Year 2 revenue, $781,689.36 in Year 3 revenue, and $894,877.98 in Year 5 revenue. The deliberate launch-year ramp reflects a partial operating year, while 2027 represents the first stabilized full-year run rate.</w:t>
      </w:r>
    </w:p>
    <w:p>
      <w:pPr>
        <w:spacing w:after="120"/>
      </w:pPr>
      <w:r>
        <w:rPr>
          <w:rFonts w:ascii="Source Sans 3" w:hAnsi="Source Sans 3" w:cs="Source Sans 3" w:eastAsia="Source Sans 3"/>
          <w:b w:val="0"/>
          <w:color w:val="1B1B1B"/>
          <w:sz w:val="22"/>
        </w:rPr>
        <w:t>Year 1 gross margin is 50.0%, the modeled break-even revenue threshold is $54,733.23 per month, and the first positive operating month is March 2027. Total startup capital is $250,000.00, with total available Year 1 capital of $274,000.00 once the twelve monthly owner contributions are included.</w:t>
      </w:r>
    </w:p>
    <w:p>
      <w:pPr>
        <w:spacing w:after="120"/>
      </w:pPr>
      <w:r>
        <w:rPr>
          <w:rFonts w:ascii="Source Sans 3" w:hAnsi="Source Sans 3" w:cs="Source Sans 3" w:eastAsia="Source Sans 3"/>
          <w:b w:val="0"/>
          <w:color w:val="1B1B1B"/>
          <w:sz w:val="22"/>
        </w:rPr>
        <w:t>The payroll model supports 8 employees and produces a monthly base payroll of $17,827.33, monthly employer taxes and benefits of $2,139.28, and total monthly payroll cost of $19,966.61. Annual operating expenses in the stabilized period total $328,399.36, including the annual marketing budget of $18,000.00.</w:t>
      </w:r>
    </w:p>
    <w:tbl>
      <w:tblPr>
        <w:tblStyle w:val="TableGrid"/>
        <w:tblW w:type="auto" w:w="0"/>
        <w:jc w:val="center"/>
        <w:tblLook w:firstColumn="1" w:firstRow="1" w:lastColumn="0" w:lastRow="0" w:noHBand="0" w:noVBand="1" w:val="04A0"/>
      </w:tblPr>
      <w:tblGrid>
        <w:gridCol w:w="4968"/>
        <w:gridCol w:w="4968"/>
      </w:tblGrid>
      <w:tr>
        <w:tc>
          <w:tcPr>
            <w:tcW w:type="dxa" w:w="6480"/>
            <w:vAlign w:val="center"/>
            <w:shd w:fill="122033"/>
          </w:tcPr>
          <w:p>
            <w:pPr>
              <w:jc w:val="center"/>
            </w:pPr>
            <w:r/>
            <w:r>
              <w:rPr>
                <w:rFonts w:ascii="Space Grotesk" w:hAnsi="Space Grotesk" w:cs="Space Grotesk" w:eastAsia="Space Grotesk"/>
                <w:b/>
                <w:color w:val="F7F4EE"/>
                <w:sz w:val="21"/>
              </w:rPr>
              <w:t>Key metric</w:t>
            </w:r>
          </w:p>
        </w:tc>
        <w:tc>
          <w:tcPr>
            <w:tcW w:type="dxa" w:w="3024"/>
            <w:vAlign w:val="center"/>
            <w:shd w:fill="122033"/>
          </w:tcPr>
          <w:p>
            <w:pPr>
              <w:jc w:val="center"/>
            </w:pPr>
            <w:r/>
            <w:r>
              <w:rPr>
                <w:rFonts w:ascii="Space Grotesk" w:hAnsi="Space Grotesk" w:cs="Space Grotesk" w:eastAsia="Space Grotesk"/>
                <w:b/>
                <w:color w:val="F7F4EE"/>
                <w:sz w:val="21"/>
              </w:rPr>
              <w:t>Exact figure</w:t>
            </w:r>
          </w:p>
        </w:tc>
      </w:tr>
      <w:tr>
        <w:tc>
          <w:tcPr>
            <w:tcW w:type="dxa" w:w="6480"/>
            <w:vAlign w:val="top"/>
          </w:tcPr>
          <w:p>
            <w:pPr>
              <w:spacing w:after="40"/>
            </w:pPr>
            <w:r/>
            <w:r>
              <w:rPr>
                <w:rFonts w:ascii="Source Sans 3" w:hAnsi="Source Sans 3" w:cs="Source Sans 3" w:eastAsia="Source Sans 3"/>
                <w:b w:val="0"/>
                <w:color w:val="1B1B1B"/>
                <w:sz w:val="21"/>
              </w:rPr>
              <w:t>Year 1 projected revenue (June-December 2026)</w:t>
            </w:r>
          </w:p>
        </w:tc>
        <w:tc>
          <w:tcPr>
            <w:tcW w:type="dxa" w:w="3024"/>
            <w:vAlign w:val="top"/>
          </w:tcPr>
          <w:p>
            <w:pPr>
              <w:spacing w:after="40"/>
            </w:pPr>
            <w:r/>
            <w:r>
              <w:rPr>
                <w:rFonts w:ascii="Source Sans 3" w:hAnsi="Source Sans 3" w:cs="Source Sans 3" w:eastAsia="Source Sans 3"/>
                <w:b w:val="0"/>
                <w:color w:val="1B1B1B"/>
                <w:sz w:val="21"/>
              </w:rPr>
              <w:t>$293,355.00</w:t>
            </w:r>
          </w:p>
        </w:tc>
      </w:tr>
      <w:tr>
        <w:tc>
          <w:tcPr>
            <w:tcW w:type="dxa" w:w="6480"/>
            <w:vAlign w:val="top"/>
          </w:tcPr>
          <w:p>
            <w:pPr>
              <w:spacing w:after="40"/>
            </w:pPr>
            <w:r/>
            <w:r>
              <w:rPr>
                <w:rFonts w:ascii="Source Sans 3" w:hAnsi="Source Sans 3" w:cs="Source Sans 3" w:eastAsia="Source Sans 3"/>
                <w:b w:val="0"/>
                <w:color w:val="1B1B1B"/>
                <w:sz w:val="21"/>
              </w:rPr>
              <w:t>Year 2 projected revenue (2027)</w:t>
            </w:r>
          </w:p>
        </w:tc>
        <w:tc>
          <w:tcPr>
            <w:tcW w:type="dxa" w:w="3024"/>
            <w:vAlign w:val="top"/>
          </w:tcPr>
          <w:p>
            <w:pPr>
              <w:spacing w:after="40"/>
            </w:pPr>
            <w:r/>
            <w:r>
              <w:rPr>
                <w:rFonts w:ascii="Source Sans 3" w:hAnsi="Source Sans 3" w:cs="Source Sans 3" w:eastAsia="Source Sans 3"/>
                <w:b w:val="0"/>
                <w:color w:val="1B1B1B"/>
                <w:sz w:val="21"/>
              </w:rPr>
              <w:t>$697,936.93</w:t>
            </w:r>
          </w:p>
        </w:tc>
      </w:tr>
      <w:tr>
        <w:tc>
          <w:tcPr>
            <w:tcW w:type="dxa" w:w="6480"/>
            <w:vAlign w:val="top"/>
          </w:tcPr>
          <w:p>
            <w:pPr>
              <w:spacing w:after="40"/>
            </w:pPr>
            <w:r/>
            <w:r>
              <w:rPr>
                <w:rFonts w:ascii="Source Sans 3" w:hAnsi="Source Sans 3" w:cs="Source Sans 3" w:eastAsia="Source Sans 3"/>
                <w:b w:val="0"/>
                <w:color w:val="1B1B1B"/>
                <w:sz w:val="21"/>
              </w:rPr>
              <w:t>Year 3 projected revenue (2028)</w:t>
            </w:r>
          </w:p>
        </w:tc>
        <w:tc>
          <w:tcPr>
            <w:tcW w:type="dxa" w:w="3024"/>
            <w:vAlign w:val="top"/>
          </w:tcPr>
          <w:p>
            <w:pPr>
              <w:spacing w:after="40"/>
            </w:pPr>
            <w:r/>
            <w:r>
              <w:rPr>
                <w:rFonts w:ascii="Source Sans 3" w:hAnsi="Source Sans 3" w:cs="Source Sans 3" w:eastAsia="Source Sans 3"/>
                <w:b w:val="0"/>
                <w:color w:val="1B1B1B"/>
                <w:sz w:val="21"/>
              </w:rPr>
              <w:t>$781,689.36</w:t>
            </w:r>
          </w:p>
        </w:tc>
      </w:tr>
      <w:tr>
        <w:tc>
          <w:tcPr>
            <w:tcW w:type="dxa" w:w="6480"/>
            <w:vAlign w:val="top"/>
          </w:tcPr>
          <w:p>
            <w:pPr>
              <w:spacing w:after="40"/>
            </w:pPr>
            <w:r/>
            <w:r>
              <w:rPr>
                <w:rFonts w:ascii="Source Sans 3" w:hAnsi="Source Sans 3" w:cs="Source Sans 3" w:eastAsia="Source Sans 3"/>
                <w:b w:val="0"/>
                <w:color w:val="1B1B1B"/>
                <w:sz w:val="21"/>
              </w:rPr>
              <w:t>Year 5 projected revenue (2030)</w:t>
            </w:r>
          </w:p>
        </w:tc>
        <w:tc>
          <w:tcPr>
            <w:tcW w:type="dxa" w:w="3024"/>
            <w:vAlign w:val="top"/>
          </w:tcPr>
          <w:p>
            <w:pPr>
              <w:spacing w:after="40"/>
            </w:pPr>
            <w:r/>
            <w:r>
              <w:rPr>
                <w:rFonts w:ascii="Source Sans 3" w:hAnsi="Source Sans 3" w:cs="Source Sans 3" w:eastAsia="Source Sans 3"/>
                <w:b w:val="0"/>
                <w:color w:val="1B1B1B"/>
                <w:sz w:val="21"/>
              </w:rPr>
              <w:t>$894,877.98</w:t>
            </w:r>
          </w:p>
        </w:tc>
      </w:tr>
      <w:tr>
        <w:tc>
          <w:tcPr>
            <w:tcW w:type="dxa" w:w="6480"/>
            <w:vAlign w:val="top"/>
          </w:tcPr>
          <w:p>
            <w:pPr>
              <w:spacing w:after="40"/>
            </w:pPr>
            <w:r/>
            <w:r>
              <w:rPr>
                <w:rFonts w:ascii="Source Sans 3" w:hAnsi="Source Sans 3" w:cs="Source Sans 3" w:eastAsia="Source Sans 3"/>
                <w:b w:val="0"/>
                <w:color w:val="1B1B1B"/>
                <w:sz w:val="21"/>
              </w:rPr>
              <w:t>Year 1 gross margin</w:t>
            </w:r>
          </w:p>
        </w:tc>
        <w:tc>
          <w:tcPr>
            <w:tcW w:type="dxa" w:w="3024"/>
            <w:vAlign w:val="top"/>
          </w:tcPr>
          <w:p>
            <w:pPr>
              <w:spacing w:after="40"/>
            </w:pPr>
            <w:r/>
            <w:r>
              <w:rPr>
                <w:rFonts w:ascii="Source Sans 3" w:hAnsi="Source Sans 3" w:cs="Source Sans 3" w:eastAsia="Source Sans 3"/>
                <w:b w:val="0"/>
                <w:color w:val="1B1B1B"/>
                <w:sz w:val="21"/>
              </w:rPr>
              <w:t>50.0%</w:t>
            </w:r>
          </w:p>
        </w:tc>
      </w:tr>
      <w:tr>
        <w:tc>
          <w:tcPr>
            <w:tcW w:type="dxa" w:w="6480"/>
            <w:vAlign w:val="top"/>
          </w:tcPr>
          <w:p>
            <w:pPr>
              <w:spacing w:after="40"/>
            </w:pPr>
            <w:r/>
            <w:r>
              <w:rPr>
                <w:rFonts w:ascii="Source Sans 3" w:hAnsi="Source Sans 3" w:cs="Source Sans 3" w:eastAsia="Source Sans 3"/>
                <w:b w:val="0"/>
                <w:color w:val="1B1B1B"/>
                <w:sz w:val="21"/>
              </w:rPr>
              <w:t>Break-even month</w:t>
            </w:r>
          </w:p>
        </w:tc>
        <w:tc>
          <w:tcPr>
            <w:tcW w:type="dxa" w:w="3024"/>
            <w:vAlign w:val="top"/>
          </w:tcPr>
          <w:p>
            <w:pPr>
              <w:spacing w:after="40"/>
            </w:pPr>
            <w:r/>
            <w:r>
              <w:rPr>
                <w:rFonts w:ascii="Source Sans 3" w:hAnsi="Source Sans 3" w:cs="Source Sans 3" w:eastAsia="Source Sans 3"/>
                <w:b w:val="0"/>
                <w:color w:val="1B1B1B"/>
                <w:sz w:val="21"/>
              </w:rPr>
              <w:t>March 2027</w:t>
            </w:r>
          </w:p>
        </w:tc>
      </w:tr>
      <w:tr>
        <w:tc>
          <w:tcPr>
            <w:tcW w:type="dxa" w:w="6480"/>
            <w:vAlign w:val="top"/>
          </w:tcPr>
          <w:p>
            <w:pPr>
              <w:spacing w:after="40"/>
            </w:pPr>
            <w:r/>
            <w:r>
              <w:rPr>
                <w:rFonts w:ascii="Source Sans 3" w:hAnsi="Source Sans 3" w:cs="Source Sans 3" w:eastAsia="Source Sans 3"/>
                <w:b w:val="0"/>
                <w:color w:val="1B1B1B"/>
                <w:sz w:val="21"/>
              </w:rPr>
              <w:t>Break-even revenue threshold</w:t>
            </w:r>
          </w:p>
        </w:tc>
        <w:tc>
          <w:tcPr>
            <w:tcW w:type="dxa" w:w="3024"/>
            <w:vAlign w:val="top"/>
          </w:tcPr>
          <w:p>
            <w:pPr>
              <w:spacing w:after="40"/>
            </w:pPr>
            <w:r/>
            <w:r>
              <w:rPr>
                <w:rFonts w:ascii="Source Sans 3" w:hAnsi="Source Sans 3" w:cs="Source Sans 3" w:eastAsia="Source Sans 3"/>
                <w:b w:val="0"/>
                <w:color w:val="1B1B1B"/>
                <w:sz w:val="21"/>
              </w:rPr>
              <w:t>$54,733.23</w:t>
            </w:r>
          </w:p>
        </w:tc>
      </w:tr>
      <w:tr>
        <w:tc>
          <w:tcPr>
            <w:tcW w:type="dxa" w:w="6480"/>
            <w:vAlign w:val="top"/>
          </w:tcPr>
          <w:p>
            <w:pPr>
              <w:spacing w:after="40"/>
            </w:pPr>
            <w:r/>
            <w:r>
              <w:rPr>
                <w:rFonts w:ascii="Source Sans 3" w:hAnsi="Source Sans 3" w:cs="Source Sans 3" w:eastAsia="Source Sans 3"/>
                <w:b w:val="0"/>
                <w:color w:val="1B1B1B"/>
                <w:sz w:val="21"/>
              </w:rPr>
              <w:t>Total startup capital</w:t>
            </w:r>
          </w:p>
        </w:tc>
        <w:tc>
          <w:tcPr>
            <w:tcW w:type="dxa" w:w="3024"/>
            <w:vAlign w:val="top"/>
          </w:tcPr>
          <w:p>
            <w:pPr>
              <w:spacing w:after="40"/>
            </w:pPr>
            <w:r/>
            <w:r>
              <w:rPr>
                <w:rFonts w:ascii="Source Sans 3" w:hAnsi="Source Sans 3" w:cs="Source Sans 3" w:eastAsia="Source Sans 3"/>
                <w:b w:val="0"/>
                <w:color w:val="1B1B1B"/>
                <w:sz w:val="21"/>
              </w:rPr>
              <w:t>$250,000.00</w:t>
            </w:r>
          </w:p>
        </w:tc>
      </w:tr>
    </w:tbl>
    <w:p/>
    <w:p>
      <w:pPr>
        <w:pStyle w:val="Heading1"/>
        <w:spacing w:after="120"/>
      </w:pPr>
      <w:r>
        <w:rPr>
          <w:rFonts w:ascii="Space Grotesk" w:hAnsi="Space Grotesk" w:cs="Space Grotesk" w:eastAsia="Space Grotesk"/>
          <w:b/>
          <w:color w:val="122033"/>
          <w:sz w:val="32"/>
        </w:rPr>
        <w:t>11. Use of Funds</w:t>
      </w:r>
    </w:p>
    <w:p>
      <w:pPr>
        <w:spacing w:after="120"/>
      </w:pPr>
      <w:r>
        <w:rPr>
          <w:rFonts w:ascii="Source Sans 3" w:hAnsi="Source Sans 3" w:cs="Source Sans 3" w:eastAsia="Source Sans 3"/>
          <w:b w:val="0"/>
          <w:color w:val="1B1B1B"/>
          <w:sz w:val="22"/>
        </w:rPr>
        <w:t>The startup budget totals exactly $250,000.00 and is allocated to launch readiness, opening inventory depth, core fixtures and systems, initial promotion, professional setup costs, and a working-capital reserve that protects the business through the pre-profitability ramp. The allocation below reproduces the Startup Costs and Use of Funds tab line items.</w:t>
      </w:r>
    </w:p>
    <w:tbl>
      <w:tblPr>
        <w:tblStyle w:val="TableGrid"/>
        <w:tblW w:type="auto" w:w="0"/>
        <w:jc w:val="center"/>
        <w:tblLook w:firstColumn="1" w:firstRow="1" w:lastColumn="0" w:lastRow="0" w:noHBand="0" w:noVBand="1" w:val="04A0"/>
      </w:tblPr>
      <w:tblGrid>
        <w:gridCol w:w="3312"/>
        <w:gridCol w:w="3312"/>
        <w:gridCol w:w="3312"/>
      </w:tblGrid>
      <w:tr>
        <w:tc>
          <w:tcPr>
            <w:tcW w:type="dxa" w:w="3312"/>
            <w:vAlign w:val="center"/>
            <w:shd w:fill="122033"/>
          </w:tcPr>
          <w:p>
            <w:pPr>
              <w:jc w:val="center"/>
            </w:pPr>
            <w:r/>
            <w:r>
              <w:rPr>
                <w:rFonts w:ascii="Space Grotesk" w:hAnsi="Space Grotesk" w:cs="Space Grotesk" w:eastAsia="Space Grotesk"/>
                <w:b/>
                <w:color w:val="F7F4EE"/>
                <w:sz w:val="21"/>
              </w:rPr>
              <w:t>Category</w:t>
            </w:r>
          </w:p>
        </w:tc>
        <w:tc>
          <w:tcPr>
            <w:tcW w:type="dxa" w:w="1872"/>
            <w:vAlign w:val="center"/>
            <w:shd w:fill="122033"/>
          </w:tcPr>
          <w:p>
            <w:pPr>
              <w:jc w:val="center"/>
            </w:pPr>
            <w:r/>
            <w:r>
              <w:rPr>
                <w:rFonts w:ascii="Space Grotesk" w:hAnsi="Space Grotesk" w:cs="Space Grotesk" w:eastAsia="Space Grotesk"/>
                <w:b/>
                <w:color w:val="F7F4EE"/>
                <w:sz w:val="21"/>
              </w:rPr>
              <w:t>Amount</w:t>
            </w:r>
          </w:p>
        </w:tc>
        <w:tc>
          <w:tcPr>
            <w:tcW w:type="dxa" w:w="4464"/>
            <w:vAlign w:val="center"/>
            <w:shd w:fill="122033"/>
          </w:tcPr>
          <w:p>
            <w:pPr>
              <w:jc w:val="center"/>
            </w:pPr>
            <w:r/>
            <w:r>
              <w:rPr>
                <w:rFonts w:ascii="Space Grotesk" w:hAnsi="Space Grotesk" w:cs="Space Grotesk" w:eastAsia="Space Grotesk"/>
                <w:b/>
                <w:color w:val="F7F4EE"/>
                <w:sz w:val="21"/>
              </w:rPr>
              <w:t>Rationale / Use of Funds</w:t>
            </w:r>
          </w:p>
        </w:tc>
      </w:tr>
      <w:tr>
        <w:tc>
          <w:tcPr>
            <w:tcW w:type="dxa" w:w="3312"/>
            <w:vAlign w:val="top"/>
          </w:tcPr>
          <w:p>
            <w:pPr>
              <w:spacing w:after="40"/>
            </w:pPr>
            <w:r/>
            <w:r>
              <w:rPr>
                <w:rFonts w:ascii="Source Sans 3" w:hAnsi="Source Sans 3" w:cs="Source Sans 3" w:eastAsia="Source Sans 3"/>
                <w:b w:val="0"/>
                <w:color w:val="1B1B1B"/>
                <w:sz w:val="21"/>
              </w:rPr>
              <w:t>Leasehold Improvements / Buildout</w:t>
            </w:r>
          </w:p>
        </w:tc>
        <w:tc>
          <w:tcPr>
            <w:tcW w:type="dxa" w:w="1872"/>
            <w:vAlign w:val="top"/>
          </w:tcPr>
          <w:p>
            <w:pPr>
              <w:spacing w:after="40"/>
            </w:pPr>
            <w:r/>
            <w:r>
              <w:rPr>
                <w:rFonts w:ascii="Source Sans 3" w:hAnsi="Source Sans 3" w:cs="Source Sans 3" w:eastAsia="Source Sans 3"/>
                <w:b w:val="0"/>
                <w:color w:val="1B1B1B"/>
                <w:sz w:val="21"/>
              </w:rPr>
              <w:t>$78,000.00</w:t>
            </w:r>
          </w:p>
        </w:tc>
        <w:tc>
          <w:tcPr>
            <w:tcW w:type="dxa" w:w="4464"/>
            <w:vAlign w:val="top"/>
          </w:tcPr>
          <w:p>
            <w:pPr>
              <w:spacing w:after="40"/>
            </w:pPr>
            <w:r/>
            <w:r>
              <w:rPr>
                <w:rFonts w:ascii="Source Sans 3" w:hAnsi="Source Sans 3" w:cs="Source Sans 3" w:eastAsia="Source Sans 3"/>
                <w:b w:val="0"/>
                <w:color w:val="1B1B1B"/>
                <w:sz w:val="21"/>
              </w:rPr>
              <w:t>Front-of-house buildout, lighting, paint, storage, and landlord-required improvements.</w:t>
            </w:r>
          </w:p>
        </w:tc>
      </w:tr>
      <w:tr>
        <w:tc>
          <w:tcPr>
            <w:tcW w:type="dxa" w:w="3312"/>
            <w:vAlign w:val="top"/>
          </w:tcPr>
          <w:p>
            <w:pPr>
              <w:spacing w:after="40"/>
            </w:pPr>
            <w:r/>
            <w:r>
              <w:rPr>
                <w:rFonts w:ascii="Source Sans 3" w:hAnsi="Source Sans 3" w:cs="Source Sans 3" w:eastAsia="Source Sans 3"/>
                <w:b w:val="0"/>
                <w:color w:val="1B1B1B"/>
                <w:sz w:val="21"/>
              </w:rPr>
              <w:t>Initial Inventory</w:t>
            </w:r>
          </w:p>
        </w:tc>
        <w:tc>
          <w:tcPr>
            <w:tcW w:type="dxa" w:w="1872"/>
            <w:vAlign w:val="top"/>
          </w:tcPr>
          <w:p>
            <w:pPr>
              <w:spacing w:after="40"/>
            </w:pPr>
            <w:r/>
            <w:r>
              <w:rPr>
                <w:rFonts w:ascii="Source Sans 3" w:hAnsi="Source Sans 3" w:cs="Source Sans 3" w:eastAsia="Source Sans 3"/>
                <w:b w:val="0"/>
                <w:color w:val="1B1B1B"/>
                <w:sz w:val="21"/>
              </w:rPr>
              <w:t>$77,000.00</w:t>
            </w:r>
          </w:p>
        </w:tc>
        <w:tc>
          <w:tcPr>
            <w:tcW w:type="dxa" w:w="4464"/>
            <w:vAlign w:val="top"/>
          </w:tcPr>
          <w:p>
            <w:pPr>
              <w:spacing w:after="40"/>
            </w:pPr>
            <w:r/>
            <w:r>
              <w:rPr>
                <w:rFonts w:ascii="Source Sans 3" w:hAnsi="Source Sans 3" w:cs="Source Sans 3" w:eastAsia="Source Sans 3"/>
                <w:b w:val="0"/>
                <w:color w:val="1B1B1B"/>
                <w:sz w:val="21"/>
              </w:rPr>
              <w:t>Opening stock across all 8 product categories with depth in figures, manga, and trading cards.</w:t>
            </w:r>
          </w:p>
        </w:tc>
      </w:tr>
      <w:tr>
        <w:tc>
          <w:tcPr>
            <w:tcW w:type="dxa" w:w="3312"/>
            <w:vAlign w:val="top"/>
          </w:tcPr>
          <w:p>
            <w:pPr>
              <w:spacing w:after="40"/>
            </w:pPr>
            <w:r/>
            <w:r>
              <w:rPr>
                <w:rFonts w:ascii="Source Sans 3" w:hAnsi="Source Sans 3" w:cs="Source Sans 3" w:eastAsia="Source Sans 3"/>
                <w:b w:val="0"/>
                <w:color w:val="1B1B1B"/>
                <w:sz w:val="21"/>
              </w:rPr>
              <w:t>Equipment and Fixtures</w:t>
            </w:r>
          </w:p>
        </w:tc>
        <w:tc>
          <w:tcPr>
            <w:tcW w:type="dxa" w:w="1872"/>
            <w:vAlign w:val="top"/>
          </w:tcPr>
          <w:p>
            <w:pPr>
              <w:spacing w:after="40"/>
            </w:pPr>
            <w:r/>
            <w:r>
              <w:rPr>
                <w:rFonts w:ascii="Source Sans 3" w:hAnsi="Source Sans 3" w:cs="Source Sans 3" w:eastAsia="Source Sans 3"/>
                <w:b w:val="0"/>
                <w:color w:val="1B1B1B"/>
                <w:sz w:val="21"/>
              </w:rPr>
              <w:t>$22,000.00</w:t>
            </w:r>
          </w:p>
        </w:tc>
        <w:tc>
          <w:tcPr>
            <w:tcW w:type="dxa" w:w="4464"/>
            <w:vAlign w:val="top"/>
          </w:tcPr>
          <w:p>
            <w:pPr>
              <w:spacing w:after="40"/>
            </w:pPr>
            <w:r/>
            <w:r>
              <w:rPr>
                <w:rFonts w:ascii="Source Sans 3" w:hAnsi="Source Sans 3" w:cs="Source Sans 3" w:eastAsia="Source Sans 3"/>
                <w:b w:val="0"/>
                <w:color w:val="1B1B1B"/>
                <w:sz w:val="21"/>
              </w:rPr>
              <w:t>POS hardware, shelving, gondolas, display cases, and back-room fixtures.</w:t>
            </w:r>
          </w:p>
        </w:tc>
      </w:tr>
      <w:tr>
        <w:tc>
          <w:tcPr>
            <w:tcW w:type="dxa" w:w="3312"/>
            <w:vAlign w:val="top"/>
          </w:tcPr>
          <w:p>
            <w:pPr>
              <w:spacing w:after="40"/>
            </w:pPr>
            <w:r/>
            <w:r>
              <w:rPr>
                <w:rFonts w:ascii="Source Sans 3" w:hAnsi="Source Sans 3" w:cs="Source Sans 3" w:eastAsia="Source Sans 3"/>
                <w:b w:val="0"/>
                <w:color w:val="1B1B1B"/>
                <w:sz w:val="21"/>
              </w:rPr>
              <w:t>Technology Setup</w:t>
            </w:r>
          </w:p>
        </w:tc>
        <w:tc>
          <w:tcPr>
            <w:tcW w:type="dxa" w:w="1872"/>
            <w:vAlign w:val="top"/>
          </w:tcPr>
          <w:p>
            <w:pPr>
              <w:spacing w:after="40"/>
            </w:pPr>
            <w:r/>
            <w:r>
              <w:rPr>
                <w:rFonts w:ascii="Source Sans 3" w:hAnsi="Source Sans 3" w:cs="Source Sans 3" w:eastAsia="Source Sans 3"/>
                <w:b w:val="0"/>
                <w:color w:val="1B1B1B"/>
                <w:sz w:val="21"/>
              </w:rPr>
              <w:t>$8,000.00</w:t>
            </w:r>
          </w:p>
        </w:tc>
        <w:tc>
          <w:tcPr>
            <w:tcW w:type="dxa" w:w="4464"/>
            <w:vAlign w:val="top"/>
          </w:tcPr>
          <w:p>
            <w:pPr>
              <w:spacing w:after="40"/>
            </w:pPr>
            <w:r/>
            <w:r>
              <w:rPr>
                <w:rFonts w:ascii="Source Sans 3" w:hAnsi="Source Sans 3" w:cs="Source Sans 3" w:eastAsia="Source Sans 3"/>
                <w:b w:val="0"/>
                <w:color w:val="1B1B1B"/>
                <w:sz w:val="21"/>
              </w:rPr>
              <w:t>Initial website setup, software onboarding, domain, and launch configuration.</w:t>
            </w:r>
          </w:p>
        </w:tc>
      </w:tr>
      <w:tr>
        <w:tc>
          <w:tcPr>
            <w:tcW w:type="dxa" w:w="3312"/>
            <w:vAlign w:val="top"/>
          </w:tcPr>
          <w:p>
            <w:pPr>
              <w:spacing w:after="40"/>
            </w:pPr>
            <w:r/>
            <w:r>
              <w:rPr>
                <w:rFonts w:ascii="Source Sans 3" w:hAnsi="Source Sans 3" w:cs="Source Sans 3" w:eastAsia="Source Sans 3"/>
                <w:b w:val="0"/>
                <w:color w:val="1B1B1B"/>
                <w:sz w:val="21"/>
              </w:rPr>
              <w:t>Signage and Branding</w:t>
            </w:r>
          </w:p>
        </w:tc>
        <w:tc>
          <w:tcPr>
            <w:tcW w:type="dxa" w:w="1872"/>
            <w:vAlign w:val="top"/>
          </w:tcPr>
          <w:p>
            <w:pPr>
              <w:spacing w:after="40"/>
            </w:pPr>
            <w:r/>
            <w:r>
              <w:rPr>
                <w:rFonts w:ascii="Source Sans 3" w:hAnsi="Source Sans 3" w:cs="Source Sans 3" w:eastAsia="Source Sans 3"/>
                <w:b w:val="0"/>
                <w:color w:val="1B1B1B"/>
                <w:sz w:val="21"/>
              </w:rPr>
              <w:t>$10,000.00</w:t>
            </w:r>
          </w:p>
        </w:tc>
        <w:tc>
          <w:tcPr>
            <w:tcW w:type="dxa" w:w="4464"/>
            <w:vAlign w:val="top"/>
          </w:tcPr>
          <w:p>
            <w:pPr>
              <w:spacing w:after="40"/>
            </w:pPr>
            <w:r/>
            <w:r>
              <w:rPr>
                <w:rFonts w:ascii="Source Sans 3" w:hAnsi="Source Sans 3" w:cs="Source Sans 3" w:eastAsia="Source Sans 3"/>
                <w:b w:val="0"/>
                <w:color w:val="1B1B1B"/>
                <w:sz w:val="21"/>
              </w:rPr>
              <w:t>Exterior/interior signage, printed collateral, and branded merchandising materials.</w:t>
            </w:r>
          </w:p>
        </w:tc>
      </w:tr>
      <w:tr>
        <w:tc>
          <w:tcPr>
            <w:tcW w:type="dxa" w:w="3312"/>
            <w:vAlign w:val="top"/>
          </w:tcPr>
          <w:p>
            <w:pPr>
              <w:spacing w:after="40"/>
            </w:pPr>
            <w:r/>
            <w:r>
              <w:rPr>
                <w:rFonts w:ascii="Source Sans 3" w:hAnsi="Source Sans 3" w:cs="Source Sans 3" w:eastAsia="Source Sans 3"/>
                <w:b w:val="0"/>
                <w:color w:val="1B1B1B"/>
                <w:sz w:val="21"/>
              </w:rPr>
              <w:t>Marketing and Pre-Opening Promotion</w:t>
            </w:r>
          </w:p>
        </w:tc>
        <w:tc>
          <w:tcPr>
            <w:tcW w:type="dxa" w:w="1872"/>
            <w:vAlign w:val="top"/>
          </w:tcPr>
          <w:p>
            <w:pPr>
              <w:spacing w:after="40"/>
            </w:pPr>
            <w:r/>
            <w:r>
              <w:rPr>
                <w:rFonts w:ascii="Source Sans 3" w:hAnsi="Source Sans 3" w:cs="Source Sans 3" w:eastAsia="Source Sans 3"/>
                <w:b w:val="0"/>
                <w:color w:val="1B1B1B"/>
                <w:sz w:val="21"/>
              </w:rPr>
              <w:t>$7,000.00</w:t>
            </w:r>
          </w:p>
        </w:tc>
        <w:tc>
          <w:tcPr>
            <w:tcW w:type="dxa" w:w="4464"/>
            <w:vAlign w:val="top"/>
          </w:tcPr>
          <w:p>
            <w:pPr>
              <w:spacing w:after="40"/>
            </w:pPr>
            <w:r/>
            <w:r>
              <w:rPr>
                <w:rFonts w:ascii="Source Sans 3" w:hAnsi="Source Sans 3" w:cs="Source Sans 3" w:eastAsia="Source Sans 3"/>
                <w:b w:val="0"/>
                <w:color w:val="1B1B1B"/>
                <w:sz w:val="21"/>
              </w:rPr>
              <w:t>Grand-opening awareness campaign, social promotion, and launch events.</w:t>
            </w:r>
          </w:p>
        </w:tc>
      </w:tr>
      <w:tr>
        <w:tc>
          <w:tcPr>
            <w:tcW w:type="dxa" w:w="3312"/>
            <w:vAlign w:val="top"/>
          </w:tcPr>
          <w:p>
            <w:pPr>
              <w:spacing w:after="40"/>
            </w:pPr>
            <w:r/>
            <w:r>
              <w:rPr>
                <w:rFonts w:ascii="Source Sans 3" w:hAnsi="Source Sans 3" w:cs="Source Sans 3" w:eastAsia="Source Sans 3"/>
                <w:b w:val="0"/>
                <w:color w:val="1B1B1B"/>
                <w:sz w:val="21"/>
              </w:rPr>
              <w:t>Legal and Professional Fees</w:t>
            </w:r>
          </w:p>
        </w:tc>
        <w:tc>
          <w:tcPr>
            <w:tcW w:type="dxa" w:w="1872"/>
            <w:vAlign w:val="top"/>
          </w:tcPr>
          <w:p>
            <w:pPr>
              <w:spacing w:after="40"/>
            </w:pPr>
            <w:r/>
            <w:r>
              <w:rPr>
                <w:rFonts w:ascii="Source Sans 3" w:hAnsi="Source Sans 3" w:cs="Source Sans 3" w:eastAsia="Source Sans 3"/>
                <w:b w:val="0"/>
                <w:color w:val="1B1B1B"/>
                <w:sz w:val="21"/>
              </w:rPr>
              <w:t>$8,000.00</w:t>
            </w:r>
          </w:p>
        </w:tc>
        <w:tc>
          <w:tcPr>
            <w:tcW w:type="dxa" w:w="4464"/>
            <w:vAlign w:val="top"/>
          </w:tcPr>
          <w:p>
            <w:pPr>
              <w:spacing w:after="40"/>
            </w:pPr>
            <w:r/>
            <w:r>
              <w:rPr>
                <w:rFonts w:ascii="Source Sans 3" w:hAnsi="Source Sans 3" w:cs="Source Sans 3" w:eastAsia="Source Sans 3"/>
                <w:b w:val="0"/>
                <w:color w:val="1B1B1B"/>
                <w:sz w:val="21"/>
              </w:rPr>
              <w:t>Formation, lease/legal review, accounting setup, and licensing support.</w:t>
            </w:r>
          </w:p>
        </w:tc>
      </w:tr>
      <w:tr>
        <w:tc>
          <w:tcPr>
            <w:tcW w:type="dxa" w:w="3312"/>
            <w:vAlign w:val="top"/>
          </w:tcPr>
          <w:p>
            <w:pPr>
              <w:spacing w:after="40"/>
            </w:pPr>
            <w:r/>
            <w:r>
              <w:rPr>
                <w:rFonts w:ascii="Source Sans 3" w:hAnsi="Source Sans 3" w:cs="Source Sans 3" w:eastAsia="Source Sans 3"/>
                <w:b w:val="0"/>
                <w:color w:val="1B1B1B"/>
                <w:sz w:val="21"/>
              </w:rPr>
              <w:t>Working Capital Reserve</w:t>
            </w:r>
          </w:p>
        </w:tc>
        <w:tc>
          <w:tcPr>
            <w:tcW w:type="dxa" w:w="1872"/>
            <w:vAlign w:val="top"/>
          </w:tcPr>
          <w:p>
            <w:pPr>
              <w:spacing w:after="40"/>
            </w:pPr>
            <w:r/>
            <w:r>
              <w:rPr>
                <w:rFonts w:ascii="Source Sans 3" w:hAnsi="Source Sans 3" w:cs="Source Sans 3" w:eastAsia="Source Sans 3"/>
                <w:b w:val="0"/>
                <w:color w:val="1B1B1B"/>
                <w:sz w:val="21"/>
              </w:rPr>
              <w:t>$40,000.00</w:t>
            </w:r>
          </w:p>
        </w:tc>
        <w:tc>
          <w:tcPr>
            <w:tcW w:type="dxa" w:w="4464"/>
            <w:vAlign w:val="top"/>
          </w:tcPr>
          <w:p>
            <w:pPr>
              <w:spacing w:after="40"/>
            </w:pPr>
            <w:r/>
            <w:r>
              <w:rPr>
                <w:rFonts w:ascii="Source Sans 3" w:hAnsi="Source Sans 3" w:cs="Source Sans 3" w:eastAsia="Source Sans 3"/>
                <w:b w:val="0"/>
                <w:color w:val="1B1B1B"/>
                <w:sz w:val="21"/>
              </w:rPr>
              <w:t>Operating cash cushion retained on hand to prevent negative ending cash during ramp-up.</w:t>
            </w:r>
          </w:p>
        </w:tc>
      </w:tr>
      <w:tr>
        <w:tc>
          <w:tcPr>
            <w:tcW w:type="dxa" w:w="3312"/>
            <w:vAlign w:val="top"/>
          </w:tcPr>
          <w:p>
            <w:pPr>
              <w:spacing w:after="40"/>
            </w:pPr>
            <w:r/>
            <w:r>
              <w:rPr>
                <w:rFonts w:ascii="Source Sans 3" w:hAnsi="Source Sans 3" w:cs="Source Sans 3" w:eastAsia="Source Sans 3"/>
                <w:b w:val="0"/>
                <w:color w:val="1B1B1B"/>
                <w:sz w:val="21"/>
              </w:rPr>
              <w:t>Total Startup Uses</w:t>
            </w:r>
          </w:p>
        </w:tc>
        <w:tc>
          <w:tcPr>
            <w:tcW w:type="dxa" w:w="1872"/>
            <w:vAlign w:val="top"/>
          </w:tcPr>
          <w:p>
            <w:pPr>
              <w:spacing w:after="40"/>
            </w:pPr>
            <w:r/>
            <w:r>
              <w:rPr>
                <w:rFonts w:ascii="Source Sans 3" w:hAnsi="Source Sans 3" w:cs="Source Sans 3" w:eastAsia="Source Sans 3"/>
                <w:b w:val="0"/>
                <w:color w:val="1B1B1B"/>
                <w:sz w:val="21"/>
              </w:rPr>
              <w:t>$250,000.00</w:t>
            </w:r>
          </w:p>
        </w:tc>
        <w:tc>
          <w:tcPr>
            <w:tcW w:type="dxa" w:w="4464"/>
            <w:vAlign w:val="top"/>
          </w:tcPr>
          <w:p>
            <w:pPr>
              <w:spacing w:after="40"/>
            </w:pPr>
            <w:r/>
            <w:r>
              <w:rPr>
                <w:rFonts w:ascii="Source Sans 3" w:hAnsi="Source Sans 3" w:cs="Source Sans 3" w:eastAsia="Source Sans 3"/>
                <w:b w:val="0"/>
                <w:color w:val="1B1B1B"/>
                <w:sz w:val="21"/>
              </w:rPr>
              <w:t>Matches the Financial Model startup budget exactly.</w:t>
            </w:r>
          </w:p>
        </w:tc>
      </w:tr>
    </w:tbl>
    <w:p/>
    <w:p>
      <w:pPr>
        <w:spacing w:after="120"/>
      </w:pPr>
      <w:r>
        <w:rPr>
          <w:rFonts w:ascii="Source Sans 3" w:hAnsi="Source Sans 3" w:cs="Source Sans 3" w:eastAsia="Source Sans 3"/>
          <w:b w:val="0"/>
          <w:color w:val="1B1B1B"/>
          <w:sz w:val="22"/>
        </w:rPr>
        <w:t>Buildout and inventory together account for the majority of the launch budget because customer experience and category credibility depend on both a polished store environment and strong opening stock depth. Equipment, technology, signage, and professional fees are sized to support a clean launch without overbuilding overhead. The $40,000.00 working-capital reserve is strategically important because the model does not show a positive operating month until March 2027, so liquidity protection matters as much as merchandising readiness.</w:t>
      </w:r>
    </w:p>
    <w:p>
      <w:pPr>
        <w:pStyle w:val="Heading1"/>
        <w:spacing w:after="120"/>
      </w:pPr>
      <w:r>
        <w:rPr>
          <w:rFonts w:ascii="Space Grotesk" w:hAnsi="Space Grotesk" w:cs="Space Grotesk" w:eastAsia="Space Grotesk"/>
          <w:b/>
          <w:color w:val="122033"/>
          <w:sz w:val="32"/>
        </w:rPr>
        <w:t>12. Risk Factors</w:t>
      </w:r>
    </w:p>
    <w:p>
      <w:pPr>
        <w:spacing w:after="120"/>
      </w:pPr>
      <w:r>
        <w:rPr>
          <w:rFonts w:ascii="Source Sans 3" w:hAnsi="Source Sans 3" w:cs="Source Sans 3" w:eastAsia="Source Sans 3"/>
          <w:b w:val="0"/>
          <w:color w:val="1B1B1B"/>
          <w:sz w:val="22"/>
        </w:rPr>
        <w:t>Risk-Assessment.docx contains the full risk register. The summary below highlights the principal exposures that investors should understand at the business-plan level.</w:t>
      </w:r>
    </w:p>
    <w:p>
      <w:pPr>
        <w:pStyle w:val="Heading2"/>
        <w:spacing w:after="40"/>
      </w:pPr>
      <w:r>
        <w:rPr>
          <w:rFonts w:ascii="Space Grotesk" w:hAnsi="Space Grotesk" w:cs="Space Grotesk" w:eastAsia="Space Grotesk"/>
          <w:b/>
          <w:color w:val="E94F37"/>
          <w:sz w:val="24"/>
        </w:rPr>
        <w:t>Revenue ramp and cash flow timing</w:t>
      </w:r>
    </w:p>
    <w:p>
      <w:pPr>
        <w:spacing w:after="120"/>
      </w:pPr>
      <w:r>
        <w:rPr>
          <w:rFonts w:ascii="Source Sans 3" w:hAnsi="Source Sans 3" w:cs="Source Sans 3" w:eastAsia="Source Sans 3"/>
          <w:b w:val="0"/>
          <w:color w:val="1B1B1B"/>
          <w:sz w:val="22"/>
        </w:rPr>
        <w:t>The highest financial risk is a slower-than-planned sales ramp during the first operating year. Management mitigates this by protecting the working-capital reserve, monitoring revenue against the break-even threshold each month, and tightening discretionary spend if the gap widens.</w:t>
      </w:r>
    </w:p>
    <w:p>
      <w:pPr>
        <w:pStyle w:val="Heading2"/>
        <w:spacing w:after="40"/>
      </w:pPr>
      <w:r>
        <w:rPr>
          <w:rFonts w:ascii="Space Grotesk" w:hAnsi="Space Grotesk" w:cs="Space Grotesk" w:eastAsia="Space Grotesk"/>
          <w:b/>
          <w:color w:val="E94F37"/>
          <w:sz w:val="24"/>
        </w:rPr>
        <w:t>Inventory discipline and shrink</w:t>
      </w:r>
    </w:p>
    <w:p>
      <w:pPr>
        <w:spacing w:after="120"/>
      </w:pPr>
      <w:r>
        <w:rPr>
          <w:rFonts w:ascii="Source Sans 3" w:hAnsi="Source Sans 3" w:cs="Source Sans 3" w:eastAsia="Source Sans 3"/>
          <w:b w:val="0"/>
          <w:color w:val="1B1B1B"/>
          <w:sz w:val="22"/>
        </w:rPr>
        <w:t>Otaku Haven sells categories that can create both stockout risk and cash-trap risk if buys are poorly balanced. Management mitigates this with category-level reorder points in Square for Retail, cautious first buys on unproven SKUs, locked display cases for premium product, and weekly cycle counts.</w:t>
      </w:r>
    </w:p>
    <w:p>
      <w:pPr>
        <w:pStyle w:val="Heading2"/>
        <w:spacing w:after="40"/>
      </w:pPr>
      <w:r>
        <w:rPr>
          <w:rFonts w:ascii="Space Grotesk" w:hAnsi="Space Grotesk" w:cs="Space Grotesk" w:eastAsia="Space Grotesk"/>
          <w:b/>
          <w:color w:val="E94F37"/>
          <w:sz w:val="24"/>
        </w:rPr>
        <w:t>Online and chain competition</w:t>
      </w:r>
    </w:p>
    <w:p>
      <w:pPr>
        <w:spacing w:after="120"/>
      </w:pPr>
      <w:r>
        <w:rPr>
          <w:rFonts w:ascii="Source Sans 3" w:hAnsi="Source Sans 3" w:cs="Source Sans 3" w:eastAsia="Source Sans 3"/>
          <w:b w:val="0"/>
          <w:color w:val="1B1B1B"/>
          <w:sz w:val="22"/>
        </w:rPr>
        <w:t>Crunchyroll Store, Amazon, Hot Topic, and Barnes &amp; Noble can each intercept customer demand in different ways. Management mitigates that risk by leaning into curated assortment, immediate pickup, knowledgeable service, and local events that online and chain competitors do not replicate well.</w:t>
      </w:r>
    </w:p>
    <w:p>
      <w:pPr>
        <w:pStyle w:val="Heading2"/>
        <w:spacing w:after="40"/>
      </w:pPr>
      <w:r>
        <w:rPr>
          <w:rFonts w:ascii="Space Grotesk" w:hAnsi="Space Grotesk" w:cs="Space Grotesk" w:eastAsia="Space Grotesk"/>
          <w:b/>
          <w:color w:val="E94F37"/>
          <w:sz w:val="24"/>
        </w:rPr>
        <w:t>IP, legal, and lease exposure</w:t>
      </w:r>
    </w:p>
    <w:p>
      <w:pPr>
        <w:spacing w:after="120"/>
      </w:pPr>
      <w:r>
        <w:rPr>
          <w:rFonts w:ascii="Source Sans 3" w:hAnsi="Source Sans 3" w:cs="Source Sans 3" w:eastAsia="Source Sans 3"/>
          <w:b w:val="0"/>
          <w:color w:val="1B1B1B"/>
          <w:sz w:val="22"/>
        </w:rPr>
        <w:t>Unlicensed product sourcing, compliance failures, or NNN occupancy pressure can all harm the business if unmanaged. Mitigation includes vetted sourcing, centralized compliance ownership, intake records for creator merchandise, and early visibility on renewal economics and occupancy costs.</w:t>
      </w:r>
    </w:p>
    <w:p>
      <w:pPr>
        <w:pStyle w:val="Heading1"/>
        <w:spacing w:after="120"/>
      </w:pPr>
      <w:r>
        <w:rPr>
          <w:rFonts w:ascii="Space Grotesk" w:hAnsi="Space Grotesk" w:cs="Space Grotesk" w:eastAsia="Space Grotesk"/>
          <w:b/>
          <w:color w:val="122033"/>
          <w:sz w:val="32"/>
        </w:rPr>
        <w:t>13. Appendices</w:t>
      </w:r>
    </w:p>
    <w:p>
      <w:pPr>
        <w:spacing w:after="120"/>
      </w:pPr>
      <w:r>
        <w:rPr>
          <w:rFonts w:ascii="Source Sans 3" w:hAnsi="Source Sans 3" w:cs="Source Sans 3" w:eastAsia="Source Sans 3"/>
          <w:b w:val="0"/>
          <w:color w:val="1B1B1B"/>
          <w:sz w:val="22"/>
        </w:rPr>
        <w:t>1. Executive Summary (standalone) — Business Plan/02-Strategic/Executive-Summary.docx</w:t>
      </w:r>
    </w:p>
    <w:p>
      <w:pPr>
        <w:spacing w:after="120"/>
      </w:pPr>
      <w:r>
        <w:rPr>
          <w:rFonts w:ascii="Source Sans 3" w:hAnsi="Source Sans 3" w:cs="Source Sans 3" w:eastAsia="Source Sans 3"/>
          <w:b w:val="0"/>
          <w:color w:val="1B1B1B"/>
          <w:sz w:val="22"/>
        </w:rPr>
        <w:t>2. Financial Model — Business Plan/02-Strategic/Financial-Model.xlsx</w:t>
      </w:r>
    </w:p>
    <w:p>
      <w:pPr>
        <w:spacing w:after="120"/>
      </w:pPr>
      <w:r>
        <w:rPr>
          <w:rFonts w:ascii="Source Sans 3" w:hAnsi="Source Sans 3" w:cs="Source Sans 3" w:eastAsia="Source Sans 3"/>
          <w:b w:val="0"/>
          <w:color w:val="1B1B1B"/>
          <w:sz w:val="22"/>
        </w:rPr>
        <w:t>3. Competitive Analysis Matrix — Business Plan/02-Strategic/Competitive-Analysis.xlsx</w:t>
      </w:r>
    </w:p>
    <w:p>
      <w:pPr>
        <w:spacing w:after="120"/>
      </w:pPr>
      <w:r>
        <w:rPr>
          <w:rFonts w:ascii="Source Sans 3" w:hAnsi="Source Sans 3" w:cs="Source Sans 3" w:eastAsia="Source Sans 3"/>
          <w:b w:val="0"/>
          <w:color w:val="1B1B1B"/>
          <w:sz w:val="22"/>
        </w:rPr>
        <w:t>4. Risk Assessment and Mitigation Plan — Business Plan/02-Strategic/Risk-Assessment.docx</w:t>
      </w:r>
    </w:p>
    <w:p>
      <w:pPr>
        <w:spacing w:after="120"/>
      </w:pPr>
      <w:r>
        <w:rPr>
          <w:rFonts w:ascii="Source Sans 3" w:hAnsi="Source Sans 3" w:cs="Source Sans 3" w:eastAsia="Source Sans 3"/>
          <w:b w:val="0"/>
          <w:color w:val="1B1B1B"/>
          <w:sz w:val="22"/>
        </w:rPr>
        <w:t>5. Marketing Plan — Business Plan/02-Strategic/Marketing-Plan.docx</w:t>
      </w:r>
    </w:p>
    <w:p>
      <w:pPr>
        <w:spacing w:after="120"/>
      </w:pPr>
      <w:r>
        <w:rPr>
          <w:rFonts w:ascii="Source Sans 3" w:hAnsi="Source Sans 3" w:cs="Source Sans 3" w:eastAsia="Source Sans 3"/>
          <w:b w:val="0"/>
          <w:color w:val="1B1B1B"/>
          <w:sz w:val="22"/>
        </w:rPr>
        <w:t>6. KPIs and Reporting Framework — Business Plan/02-Strategic/KPIs-and-Reporting.docx</w:t>
      </w:r>
    </w:p>
    <w:p>
      <w:pPr>
        <w:spacing w:after="120"/>
      </w:pPr>
      <w:r>
        <w:rPr>
          <w:rFonts w:ascii="Source Sans 3" w:hAnsi="Source Sans 3" w:cs="Source Sans 3" w:eastAsia="Source Sans 3"/>
          <w:b w:val="0"/>
          <w:color w:val="1B1B1B"/>
          <w:sz w:val="22"/>
        </w:rPr>
        <w:t>7. Operating Agreement — Business Plan/01-Formation-and-Brand/Operating-Agreement.docx</w:t>
      </w:r>
    </w:p>
    <w:p>
      <w:pPr>
        <w:spacing w:after="120"/>
      </w:pPr>
      <w:r>
        <w:rPr>
          <w:rFonts w:ascii="Source Sans 3" w:hAnsi="Source Sans 3" w:cs="Source Sans 3" w:eastAsia="Source Sans 3"/>
          <w:b w:val="0"/>
          <w:color w:val="1B1B1B"/>
          <w:sz w:val="22"/>
        </w:rPr>
        <w:t>8. Cap Table Summary — Business Plan/01-Formation-and-Brand/Cap-Table-Summary.docx</w:t>
      </w:r>
    </w:p>
    <w:p>
      <w:pPr>
        <w:spacing w:after="120"/>
      </w:pPr>
      <w:r>
        <w:rPr>
          <w:rFonts w:ascii="Source Sans 3" w:hAnsi="Source Sans 3" w:cs="Source Sans 3" w:eastAsia="Source Sans 3"/>
          <w:b w:val="0"/>
          <w:color w:val="1B1B1B"/>
          <w:sz w:val="22"/>
        </w:rPr>
        <w:t>9. Brand Style Guide — Business Plan/01-Formation-and-Brand/Brand-Style-Guide.docx</w:t>
      </w:r>
    </w:p>
    <w:p>
      <w:pPr>
        <w:spacing w:after="0"/>
      </w:pPr>
      <w:r>
        <w:rPr>
          <w:rFonts w:ascii="Source Sans 3" w:hAnsi="Source Sans 3" w:cs="Source Sans 3" w:eastAsia="Source Sans 3"/>
          <w:b w:val="0"/>
          <w:color w:val="1B1B1B"/>
          <w:sz w:val="22"/>
        </w:rPr>
        <w:t>Market size references in Section 3 are explicitly labeled as management planning estimates. Typography and color choices are aligned to Brand-Style-Guide.docx using Space Grotesk, Source Sans 3, and the Night Market Navy / Tokyo Ember palette.</w:t>
      </w:r>
    </w:p>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1B1B1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pace Grotesk" w:hAnsi="Space Grotesk"/>
      <w:b/>
      <w:bCs/>
      <w:color w:val="12203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pace Grotesk" w:hAnsi="Space Grotesk"/>
      <w:b/>
      <w:bCs/>
      <w:color w:val="E94F3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pace Grotesk" w:hAnsi="Space Grotesk"/>
      <w:b/>
      <w:bCs/>
      <w:color w:val="12203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Space Grotesk" w:hAnsi="Space Grotesk"/>
      <w:b/>
      <w:color w:val="12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