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OPERATING AGREEMENT OF OTAKU HAVEN LLC</w:t>
      </w:r>
    </w:p>
    <w:p>
      <w:pPr>
        <w:pStyle w:val="Subtitle"/>
      </w:pPr>
      <w:r>
        <w:t xml:space="preserve">Texas Member-Managed Limited Liability Company</w:t>
      </w:r>
    </w:p>
    <w:p>
      <w:r>
        <w:t xml:space="preserve">This Operating Agreement is entered into effective January 8, 2026 for Otaku Haven LLC, a Texas member-managed limited liability company, to establish the governance, ownership, and operating rules of the Company.</w:t>
      </w:r>
    </w:p>
    <w:p>
      <w:pPr>
        <w:pStyle w:val="Heading1"/>
      </w:pPr>
      <w:r>
        <w:t xml:space="preserve">1. Entity Information</w:t>
      </w:r>
    </w:p>
    <w:p>
      <w:r>
        <w:t xml:space="preserve">Legal Name: Otaku Haven LLC</w:t>
      </w:r>
    </w:p>
    <w:p>
      <w:r>
        <w:t xml:space="preserve">Trade Name (DBA): Otaku Haven</w:t>
      </w:r>
    </w:p>
    <w:p>
      <w:r>
        <w:t xml:space="preserve">Entity Type: Texas LLC (member-managed)</w:t>
      </w:r>
    </w:p>
    <w:p>
      <w:r>
        <w:t xml:space="preserve">Formation Date: January 8, 2026</w:t>
      </w:r>
    </w:p>
    <w:p>
      <w:r>
        <w:t xml:space="preserve">EIN: 84-1234567</w:t>
      </w:r>
    </w:p>
    <w:p>
      <w:r>
        <w:t xml:space="preserve">State of Formation: Texas</w:t>
      </w:r>
    </w:p>
    <w:p>
      <w:r>
        <w:t xml:space="preserve">Registered Agent: James Whitfield, Bridgehead Registered Agent Services</w:t>
      </w:r>
    </w:p>
    <w:p>
      <w:r>
        <w:t xml:space="preserve">Principal Office: 2847 S Lamar Blvd, Suite 105, Austin, TX 78704</w:t>
      </w:r>
    </w:p>
    <w:p>
      <w:pPr>
        <w:pStyle w:val="Heading1"/>
      </w:pPr>
      <w:r>
        <w:t xml:space="preserve">2. Members, Equity, and Roles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</w:tblPr>
      <w:tblGrid>
        <w:gridCol w:w="3400"/>
        <w:gridCol w:w="2600"/>
        <w:gridCol w:w="2200"/>
        <w:gridCol w:w="1800"/>
      </w:tblGrid>
      <w:tr>
        <w:tc>
          <w:tcPr>
            <w:tcW w:w="3400" w:type="dxa"/>
          </w:tcPr>
          <w:p>
            <w:r>
              <w:rPr>
                <w:b/>
              </w:rPr>
              <w:t xml:space="preserve">Member</w:t>
            </w:r>
          </w:p>
        </w:tc>
        <w:tc>
          <w:tcPr>
            <w:tcW w:w="2600" w:type="dxa"/>
          </w:tcPr>
          <w:p>
            <w:r>
              <w:rPr>
                <w:b/>
              </w:rPr>
              <w:t xml:space="preserve">Role</w:t>
            </w:r>
          </w:p>
        </w:tc>
        <w:tc>
          <w:tcPr>
            <w:tcW w:w="2200" w:type="dxa"/>
          </w:tcPr>
          <w:p>
            <w:r>
              <w:rPr>
                <w:b/>
              </w:rPr>
              <w:t xml:space="preserve">Membership Interest</w:t>
            </w:r>
          </w:p>
        </w:tc>
        <w:tc>
          <w:tcPr>
            <w:tcW w:w="1800" w:type="dxa"/>
          </w:tcPr>
          <w:p>
            <w:r>
              <w:rPr>
                <w:b/>
              </w:rPr>
              <w:t xml:space="preserve">Status</w:t>
            </w:r>
          </w:p>
        </w:tc>
      </w:tr>
      <w:tr>
        <w:tc>
          <w:tcPr>
            <w:tcW w:w="3400" w:type="dxa"/>
          </w:tcPr>
          <w:p>
            <w:r>
              <w:t xml:space="preserve">James Whitfield</w:t>
            </w:r>
          </w:p>
        </w:tc>
        <w:tc>
          <w:tcPr>
            <w:tcW w:w="2600" w:type="dxa"/>
          </w:tcPr>
          <w:p>
            <w:r>
              <w:t xml:space="preserve">Managing Member</w:t>
            </w:r>
          </w:p>
        </w:tc>
        <w:tc>
          <w:tcPr>
            <w:tcW w:w="2200" w:type="dxa"/>
          </w:tcPr>
          <w:p>
            <w:r>
              <w:t xml:space="preserve">40%</w:t>
            </w:r>
          </w:p>
        </w:tc>
        <w:tc>
          <w:tcPr>
            <w:tcW w:w="1800" w:type="dxa"/>
          </w:tcPr>
          <w:p>
            <w:r>
              <w:t xml:space="preserve">Issued</w:t>
            </w:r>
          </w:p>
        </w:tc>
      </w:tr>
      <w:tr>
        <w:tc>
          <w:tcPr>
            <w:tcW w:w="3400" w:type="dxa"/>
          </w:tcPr>
          <w:p>
            <w:r>
              <w:t xml:space="preserve">Kelli Nakamura</w:t>
            </w:r>
          </w:p>
        </w:tc>
        <w:tc>
          <w:tcPr>
            <w:tcW w:w="2600" w:type="dxa"/>
          </w:tcPr>
          <w:p>
            <w:r>
              <w:t xml:space="preserve">Member</w:t>
            </w:r>
          </w:p>
        </w:tc>
        <w:tc>
          <w:tcPr>
            <w:tcW w:w="2200" w:type="dxa"/>
          </w:tcPr>
          <w:p>
            <w:r>
              <w:t xml:space="preserve">35%</w:t>
            </w:r>
          </w:p>
        </w:tc>
        <w:tc>
          <w:tcPr>
            <w:tcW w:w="1800" w:type="dxa"/>
          </w:tcPr>
          <w:p>
            <w:r>
              <w:t xml:space="preserve">Issued</w:t>
            </w:r>
          </w:p>
        </w:tc>
      </w:tr>
      <w:tr>
        <w:tc>
          <w:tcPr>
            <w:tcW w:w="3400" w:type="dxa"/>
          </w:tcPr>
          <w:p>
            <w:r>
              <w:t xml:space="preserve">Reserved / Unallocated</w:t>
            </w:r>
          </w:p>
        </w:tc>
        <w:tc>
          <w:tcPr>
            <w:tcW w:w="2600" w:type="dxa"/>
          </w:tcPr>
          <w:p>
            <w:r>
              <w:t xml:space="preserve">Unissued</w:t>
            </w:r>
          </w:p>
        </w:tc>
        <w:tc>
          <w:tcPr>
            <w:tcW w:w="2200" w:type="dxa"/>
          </w:tcPr>
          <w:p>
            <w:r>
              <w:t xml:space="preserve">25%</w:t>
            </w:r>
          </w:p>
        </w:tc>
        <w:tc>
          <w:tcPr>
            <w:tcW w:w="1800" w:type="dxa"/>
          </w:tcPr>
          <w:p>
            <w:r>
              <w:t xml:space="preserve">Reserved</w:t>
            </w:r>
          </w:p>
        </w:tc>
      </w:tr>
      <w:tr>
        <w:tc>
          <w:tcPr>
            <w:tcW w:w="3400" w:type="dxa"/>
          </w:tcPr>
          <w:p>
            <w:r>
              <w:t xml:space="preserve">Total</w:t>
            </w:r>
          </w:p>
        </w:tc>
        <w:tc>
          <w:tcPr>
            <w:tcW w:w="2600" w:type="dxa"/>
          </w:tcPr>
          <w:p>
            <w:r>
              <w:t xml:space="preserve"/>
            </w:r>
          </w:p>
        </w:tc>
        <w:tc>
          <w:tcPr>
            <w:tcW w:w="2200" w:type="dxa"/>
          </w:tcPr>
          <w:p>
            <w:r>
              <w:t xml:space="preserve">100%</w:t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</w:tbl>
    <w:p>
      <w:r>
        <w:t xml:space="preserve">James Whitfield serves as the Managing Member. Kelli Nakamura serves as a Member. The 25% reserved equity block is unissued and available for a future investor or partner only in accordance with this Agreement.</w:t>
      </w:r>
    </w:p>
    <w:p>
      <w:pPr>
        <w:pStyle w:val="Heading1"/>
      </w:pPr>
      <w:r>
        <w:t xml:space="preserve">3. Capital Contributions</w:t>
      </w:r>
    </w:p>
    <w:p>
      <w:r>
        <w:t xml:space="preserve">The Company references a total initial startup budget of $250,000 as its initial capital base.</w:t>
      </w:r>
    </w:p>
    <w:p>
      <w:r>
        <w:t xml:space="preserve">The Company also references monthly owner contributions of $2,000/month, equal to a 12-month runway supplement of $24,000.</w:t>
      </w:r>
    </w:p>
    <w:p>
      <w:r>
        <w:t xml:space="preserve">Accordingly, the total available capital for Year 1 is stated as $274,000.</w:t>
      </w:r>
    </w:p>
    <w:p>
      <w:r>
        <w:t xml:space="preserve">No member-specific contribution split is assigned in this Agreement because the reference data provides capital at the entity level only.</w:t>
      </w:r>
    </w:p>
    <w:p>
      <w:pPr>
        <w:pStyle w:val="Heading1"/>
      </w:pPr>
      <w:r>
        <w:t xml:space="preserve">4. Management Structure</w:t>
      </w:r>
    </w:p>
    <w:p>
      <w:r>
        <w:t xml:space="preserve">The Company is a member-managed Texas limited liability company.</w:t>
      </w:r>
    </w:p>
    <w:p>
      <w:r>
        <w:t xml:space="preserve">James Whitfield, as Managing Member, has day-to-day authority over routine business operations, execution, and administration.</w:t>
      </w:r>
    </w:p>
    <w:p>
      <w:r>
        <w:t xml:space="preserve">Kelli Nakamura participates in major decisions in accordance with the voting thresholds stated in this Agreement.</w:t>
      </w:r>
    </w:p>
    <w:p>
      <w:pPr>
        <w:pStyle w:val="Heading1"/>
      </w:pPr>
      <w:r>
        <w:t xml:space="preserve">5. Voting Rights and Decision-Making Thresholds</w:t>
      </w:r>
    </w:p>
    <w:p>
      <w:r>
        <w:t xml:space="preserve">Routine operational decisions are within the authority of the Managing Member.</w:t>
      </w:r>
    </w:p>
    <w:p>
      <w:r>
        <w:t xml:space="preserve">Major decisions, including incurring debt above a material threshold, admitting new members, amending this Agreement, and dissolving the Company, require approval of members holding a majority of issued membership interests, meaning more than 50% of currently issued interests.</w:t>
      </w:r>
    </w:p>
    <w:p>
      <w:r>
        <w:t xml:space="preserve">For current governance purposes, with only 75% of the membership interests issued and held by James Whitfield and Kelli Nakamura, both active members must agree to approve a major decision.</w:t>
      </w:r>
    </w:p>
    <w:p>
      <w:pPr>
        <w:pStyle w:val="Heading1"/>
      </w:pPr>
      <w:r>
        <w:t xml:space="preserve">6. Distributions Policy</w:t>
      </w:r>
    </w:p>
    <w:p>
      <w:r>
        <w:t xml:space="preserve">Distributions are made at the discretion of the Managing Member, subject to the Company maintaining sufficient operating reserves.</w:t>
      </w:r>
    </w:p>
    <w:p>
      <w:r>
        <w:t xml:space="preserve">Any distributions that are made are allocated pro rata to members according to their percentage interests.</w:t>
      </w:r>
    </w:p>
    <w:p>
      <w:pPr>
        <w:pStyle w:val="Heading1"/>
      </w:pPr>
      <w:r>
        <w:t xml:space="preserve">7. Transfer Restrictions and Right of First Refusal</w:t>
      </w:r>
    </w:p>
    <w:p>
      <w:r>
        <w:t xml:space="preserve">No member may transfer any membership interest without the prior written consent of all other members.</w:t>
      </w:r>
    </w:p>
    <w:p>
      <w:r>
        <w:t xml:space="preserve">Before any permitted transfer, the transferring member must first offer the interest to the remaining members on the same price and terms under a right of first refusal.</w:t>
      </w:r>
    </w:p>
    <w:p>
      <w:pPr>
        <w:pStyle w:val="Heading1"/>
      </w:pPr>
      <w:r>
        <w:t xml:space="preserve">8. Reserved Equity Block Provisions</w:t>
      </w:r>
    </w:p>
    <w:p>
      <w:r>
        <w:t xml:space="preserve">The 25% reserved equity block is unissued and unallocated as of the effective date of this Agreement.</w:t>
      </w:r>
    </w:p>
    <w:p>
      <w:r>
        <w:t xml:space="preserve">Issuance of any portion of the reserved block requires unanimous written consent of all current members.</w:t>
      </w:r>
    </w:p>
    <w:p>
      <w:r>
        <w:t xml:space="preserve">Any issuance of the reserved block must be documented in writing at the time of issuance, but this Agreement does not establish any specific terms for a hypothetical future investor or partner.</w:t>
      </w:r>
    </w:p>
    <w:p>
      <w:pPr>
        <w:pStyle w:val="Heading1"/>
      </w:pPr>
      <w:r>
        <w:t xml:space="preserve">9. Dissolution Provisions</w:t>
      </w:r>
    </w:p>
    <w:p>
      <w:r>
        <w:t xml:space="preserve">The Company may be dissolved upon unanimous written consent of all members holding issued interests or upon any event that requires dissolution under Texas law.</w:t>
      </w:r>
    </w:p>
    <w:p>
      <w:r>
        <w:t xml:space="preserve">Upon dissolution, the Company shall wind down operations, pay liabilities, and distribute any remaining assets pro rata to members based on their percentage interests.</w:t>
      </w:r>
    </w:p>
    <w:p>
      <w:pPr>
        <w:pStyle w:val="Heading1"/>
      </w:pPr>
      <w:r>
        <w:t xml:space="preserve">10. Governing Law</w:t>
      </w:r>
    </w:p>
    <w:p>
      <w:r>
        <w:t xml:space="preserve">This Agreement is governed by the laws of the State of Texas, including the Texas Business Organizations Code.</w:t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2"/>
        <w:szCs w:val="22"/>
      </w:rPr>
    </w:rPrDefault>
    <w:pPrDefault>
      <w:pPr>
        <w:spacing w:after="120"/>
      </w:pPr>
    </w:pPrDefault>
  </w:docDefaults>
  <w:style w:type="paragraph" w:default="1" w:styleId="Normal">
    <w:name w:val="Normal"/>
  </w:style>
  <w:style w:type="paragraph" w:styleId="Title">
    <w:name w:val="Title"/>
    <w:pPr>
      <w:jc w:val="center"/>
      <w:spacing w:after="220"/>
    </w:pPr>
    <w:rPr>
      <w:b/>
      <w:sz w:val="28"/>
      <w:szCs w:val="28"/>
    </w:rPr>
  </w:style>
  <w:style w:type="paragraph" w:styleId="Subtitle">
    <w:name w:val="Subtitle"/>
    <w:pPr>
      <w:jc w:val="center"/>
      <w:spacing w:after="180"/>
    </w:pPr>
    <w:rPr>
      <w:i/>
      <w:sz w:val="22"/>
      <w:szCs w:val="22"/>
    </w:rPr>
  </w:style>
  <w:style w:type="paragraph" w:styleId="Heading1">
    <w:name w:val="heading 1"/>
    <w:basedOn w:val="Normal"/>
    <w:next w:val="Normal"/>
    <w:qFormat/>
    <w:pPr>
      <w:spacing w:before="220" w:after="80"/>
    </w:pPr>
    <w:rPr>
      <w:b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Agreement of Otaku Haven LLC</dc:title>
  <dc:creator>Codex</dc:creator>
  <cp:lastModifiedBy>Codex</cp:lastModifiedBy>
  <dcterms:created xsi:type="dcterms:W3CDTF">2026-04-25T19:58:32Z</dcterms:created>
  <dcterms:modified xsi:type="dcterms:W3CDTF">2026-04-25T19:58:32Z</dcterms:modified>
</cp:coreProperties>
</file>